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CE3F" w14:textId="77777777" w:rsidR="00814FB3" w:rsidRDefault="00814FB3" w:rsidP="00814FB3">
      <w:pPr>
        <w:pStyle w:val="Title"/>
        <w:widowControl w:val="0"/>
        <w:rPr>
          <w:color w:val="39523B"/>
          <w:lang w:val="en-US"/>
        </w:rPr>
      </w:pPr>
    </w:p>
    <w:p w14:paraId="0B7B9FEF" w14:textId="77777777" w:rsidR="00814FB3" w:rsidRDefault="00814FB3" w:rsidP="00814FB3">
      <w:pPr>
        <w:pStyle w:val="Title"/>
        <w:widowControl w:val="0"/>
        <w:rPr>
          <w:color w:val="39523B"/>
          <w:lang w:val="en-US"/>
        </w:rPr>
      </w:pPr>
    </w:p>
    <w:p w14:paraId="23FC91BE" w14:textId="062707D5" w:rsidR="00814FB3" w:rsidRDefault="00814FB3" w:rsidP="00814FB3">
      <w:pPr>
        <w:pStyle w:val="Title"/>
        <w:widowControl w:val="0"/>
        <w:rPr>
          <w:rFonts w:ascii="Times New Roman" w:hAnsi="Times New Roman"/>
          <w:color w:val="5D876F"/>
          <w:lang w:val="en-US"/>
        </w:rPr>
      </w:pPr>
      <w:r w:rsidRPr="00FE6B33">
        <w:rPr>
          <w:rFonts w:ascii="Times New Roman" w:hAnsi="Times New Roman"/>
          <w:color w:val="5D876F"/>
          <w:lang w:val="en-US"/>
        </w:rPr>
        <w:t>Queensland Integrity Commissioner</w:t>
      </w:r>
    </w:p>
    <w:p w14:paraId="2B6FF992" w14:textId="04878302" w:rsidR="00814FB3" w:rsidRDefault="00954CCF" w:rsidP="00B0661D">
      <w:pPr>
        <w:pStyle w:val="Subtitle"/>
        <w:rPr>
          <w:spacing w:val="24"/>
          <w:lang w:val="en-US"/>
        </w:rPr>
      </w:pPr>
      <w:r w:rsidRPr="00B0661D">
        <w:rPr>
          <w:rFonts w:ascii="Times New Roman" w:hAnsi="Times New Roman" w:cs="Times New Roman"/>
          <w:b w:val="0"/>
          <w:bCs/>
          <w:color w:val="5D876F"/>
          <w:lang w:val="en-US" w:eastAsia="en-US"/>
        </w:rPr>
        <w:t>Annual Report</w:t>
      </w:r>
      <w:r w:rsidR="00F3517F">
        <w:rPr>
          <w:rFonts w:ascii="Times New Roman" w:hAnsi="Times New Roman" w:cs="Times New Roman"/>
          <w:b w:val="0"/>
          <w:bCs/>
          <w:color w:val="5D876F"/>
          <w:lang w:val="en-US" w:eastAsia="en-US"/>
        </w:rPr>
        <w:t xml:space="preserve"> </w:t>
      </w:r>
      <w:r w:rsidR="00F3517F" w:rsidRPr="00B0661D">
        <w:rPr>
          <w:rFonts w:ascii="Times New Roman" w:hAnsi="Times New Roman" w:cs="Times New Roman"/>
          <w:b w:val="0"/>
          <w:bCs/>
          <w:color w:val="5D876F"/>
          <w:lang w:val="en-US" w:eastAsia="en-US"/>
        </w:rPr>
        <w:t>2020</w:t>
      </w:r>
      <w:r w:rsidR="00047606">
        <w:rPr>
          <w:rFonts w:ascii="Times New Roman" w:hAnsi="Times New Roman" w:cs="Times New Roman"/>
          <w:b w:val="0"/>
          <w:bCs/>
          <w:color w:val="5D876F"/>
          <w:lang w:val="en-US" w:eastAsia="en-US"/>
        </w:rPr>
        <w:noBreakHyphen/>
      </w:r>
      <w:r w:rsidR="00F3517F" w:rsidRPr="00B0661D">
        <w:rPr>
          <w:rFonts w:ascii="Times New Roman" w:hAnsi="Times New Roman" w:cs="Times New Roman"/>
          <w:b w:val="0"/>
          <w:bCs/>
          <w:color w:val="5D876F"/>
          <w:lang w:val="en-US" w:eastAsia="en-US"/>
        </w:rPr>
        <w:t>21</w:t>
      </w:r>
      <w:r w:rsidR="00814FB3" w:rsidRPr="0072345C">
        <w:rPr>
          <w:noProof/>
          <w:spacing w:val="24"/>
          <w:lang w:val="en-US"/>
        </w:rPr>
        <w:drawing>
          <wp:inline distT="0" distB="0" distL="0" distR="0" wp14:anchorId="2872DB94" wp14:editId="595E91E3">
            <wp:extent cx="4707890" cy="4752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7890" cy="47522"/>
                    </a:xfrm>
                    <a:prstGeom prst="rect">
                      <a:avLst/>
                    </a:prstGeom>
                    <a:noFill/>
                    <a:ln>
                      <a:noFill/>
                    </a:ln>
                  </pic:spPr>
                </pic:pic>
              </a:graphicData>
            </a:graphic>
          </wp:inline>
        </w:drawing>
      </w:r>
    </w:p>
    <w:p w14:paraId="01C61DD3" w14:textId="77777777" w:rsidR="00814FB3" w:rsidRPr="00601133" w:rsidRDefault="00814FB3" w:rsidP="00814FB3">
      <w:pPr>
        <w:pStyle w:val="msotagline"/>
        <w:widowControl w:val="0"/>
        <w:rPr>
          <w:color w:val="468C76"/>
          <w14:ligatures w14:val="none"/>
        </w:rPr>
      </w:pPr>
      <w:r w:rsidRPr="00601133">
        <w:rPr>
          <w:color w:val="468C76"/>
          <w14:ligatures w14:val="none"/>
        </w:rPr>
        <w:t xml:space="preserve">Encouraging confidence in public office &amp; public institutions </w:t>
      </w:r>
    </w:p>
    <w:p w14:paraId="4DEAAEA8" w14:textId="02DF4638" w:rsidR="00273352" w:rsidRPr="00546AF1" w:rsidRDefault="00273352" w:rsidP="00BE4B1E">
      <w:pPr>
        <w:widowControl w:val="0"/>
        <w:rPr>
          <w:rFonts w:ascii="Times New Roman" w:hAnsi="Times New Roman"/>
          <w:color w:val="000000"/>
        </w:rPr>
      </w:pPr>
    </w:p>
    <w:p w14:paraId="525C2E2B" w14:textId="77777777" w:rsidR="00FA69F5" w:rsidRPr="00546AF1" w:rsidRDefault="00FA69F5" w:rsidP="00BE4B1E">
      <w:pPr>
        <w:rPr>
          <w:rStyle w:val="DocProjectName"/>
          <w:rFonts w:ascii="Times New Roman" w:hAnsi="Times New Roman"/>
          <w:color w:val="000000"/>
        </w:rPr>
      </w:pPr>
    </w:p>
    <w:p w14:paraId="35641564" w14:textId="77777777" w:rsidR="009F6AA0" w:rsidRPr="00546AF1" w:rsidRDefault="009F6AA0" w:rsidP="00BE4B1E">
      <w:pPr>
        <w:rPr>
          <w:rFonts w:ascii="Times New Roman" w:hAnsi="Times New Roman"/>
          <w:color w:val="000000"/>
        </w:rPr>
        <w:sectPr w:rsidR="009F6AA0" w:rsidRPr="00546AF1" w:rsidSect="002E4802">
          <w:headerReference w:type="default" r:id="rId12"/>
          <w:footerReference w:type="default" r:id="rId13"/>
          <w:headerReference w:type="first" r:id="rId14"/>
          <w:type w:val="continuous"/>
          <w:pgSz w:w="11907" w:h="16840" w:code="9"/>
          <w:pgMar w:top="1440" w:right="1440" w:bottom="1440" w:left="1440" w:header="567" w:footer="567" w:gutter="0"/>
          <w:pgNumType w:fmt="lowerRoman"/>
          <w:cols w:space="720"/>
          <w:formProt w:val="0"/>
          <w:titlePg/>
          <w:docGrid w:linePitch="299"/>
        </w:sectPr>
      </w:pPr>
    </w:p>
    <w:p w14:paraId="54337F7E" w14:textId="77777777" w:rsidR="00861874" w:rsidRDefault="00861874" w:rsidP="007C149C">
      <w:pPr>
        <w:pStyle w:val="Heading2"/>
      </w:pPr>
      <w:bookmarkStart w:id="0" w:name="_Toc83044357"/>
      <w:bookmarkStart w:id="1" w:name="_Toc83731219"/>
      <w:bookmarkStart w:id="2" w:name="_Toc83822835"/>
      <w:r>
        <w:br w:type="page"/>
      </w:r>
    </w:p>
    <w:p w14:paraId="6CC3A37A" w14:textId="00EB0BE2" w:rsidR="00576CF7" w:rsidRPr="00546AF1" w:rsidRDefault="00576CF7" w:rsidP="007C149C">
      <w:pPr>
        <w:pStyle w:val="Heading2"/>
      </w:pPr>
      <w:r w:rsidRPr="00546AF1">
        <w:lastRenderedPageBreak/>
        <w:t>About this Report</w:t>
      </w:r>
      <w:bookmarkEnd w:id="0"/>
      <w:bookmarkEnd w:id="1"/>
      <w:bookmarkEnd w:id="2"/>
    </w:p>
    <w:p w14:paraId="6006A049" w14:textId="5FDE2183" w:rsidR="00D16CDF" w:rsidRPr="00546AF1" w:rsidRDefault="00D16CDF" w:rsidP="00EB6567">
      <w:pPr>
        <w:pStyle w:val="Style1"/>
      </w:pPr>
      <w:r w:rsidRPr="00546AF1">
        <w:t>Th</w:t>
      </w:r>
      <w:r w:rsidR="00AB063B" w:rsidRPr="00546AF1">
        <w:t xml:space="preserve">is </w:t>
      </w:r>
      <w:r w:rsidRPr="00546AF1">
        <w:t>Annual Report has been prepared for the Speaker and the Economics and Governance</w:t>
      </w:r>
      <w:r w:rsidR="00576CF7" w:rsidRPr="00546AF1">
        <w:t xml:space="preserve"> </w:t>
      </w:r>
      <w:r w:rsidRPr="00546AF1">
        <w:t>Committee</w:t>
      </w:r>
      <w:r w:rsidR="00576CF7" w:rsidRPr="00546AF1">
        <w:t xml:space="preserve"> </w:t>
      </w:r>
      <w:r w:rsidRPr="00546AF1">
        <w:t>for tabling in the Legislative Assembly.</w:t>
      </w:r>
    </w:p>
    <w:p w14:paraId="77E8115A" w14:textId="77777777" w:rsidR="00D16CDF" w:rsidRPr="00546AF1" w:rsidRDefault="00D16CDF" w:rsidP="00EB6567">
      <w:pPr>
        <w:pStyle w:val="Style1"/>
      </w:pPr>
    </w:p>
    <w:p w14:paraId="29B83F9C" w14:textId="0179BC4F" w:rsidR="00E14FAA" w:rsidRPr="00546AF1" w:rsidRDefault="00D16CDF" w:rsidP="00EB6567">
      <w:pPr>
        <w:pStyle w:val="Style1"/>
      </w:pPr>
      <w:r w:rsidRPr="00546AF1">
        <w:t xml:space="preserve">The report </w:t>
      </w:r>
      <w:r w:rsidR="00E14FAA" w:rsidRPr="00546AF1">
        <w:t xml:space="preserve">provides detailed information about the </w:t>
      </w:r>
      <w:r w:rsidR="00960F82" w:rsidRPr="00546AF1">
        <w:t xml:space="preserve">Queensland </w:t>
      </w:r>
      <w:r w:rsidR="00E14FAA" w:rsidRPr="00546AF1">
        <w:t>Integrity Commissioner’s financial and non</w:t>
      </w:r>
      <w:r w:rsidR="00254286">
        <w:noBreakHyphen/>
      </w:r>
      <w:r w:rsidR="00E14FAA" w:rsidRPr="00546AF1">
        <w:t>financial performance for 2020–21</w:t>
      </w:r>
      <w:r w:rsidR="00BE5C22" w:rsidRPr="00546AF1">
        <w:t xml:space="preserve">, and has been </w:t>
      </w:r>
      <w:r w:rsidR="00E14FAA" w:rsidRPr="00546AF1">
        <w:t>prepared in accordance with the:</w:t>
      </w:r>
    </w:p>
    <w:p w14:paraId="1C6D12E0" w14:textId="77777777" w:rsidR="00E14FAA" w:rsidRPr="00D22E1E" w:rsidRDefault="00E14FAA" w:rsidP="00EB6567">
      <w:pPr>
        <w:pStyle w:val="Style1"/>
        <w:numPr>
          <w:ilvl w:val="0"/>
          <w:numId w:val="24"/>
        </w:numPr>
        <w:rPr>
          <w:i/>
          <w:iCs/>
        </w:rPr>
      </w:pPr>
      <w:r w:rsidRPr="00D22E1E">
        <w:rPr>
          <w:i/>
          <w:iCs/>
        </w:rPr>
        <w:t>Integrity Act 2009</w:t>
      </w:r>
    </w:p>
    <w:p w14:paraId="1F79CEA1" w14:textId="7FED114A" w:rsidR="00E14FAA" w:rsidRPr="00546AF1" w:rsidRDefault="00E14FAA" w:rsidP="00EB6567">
      <w:pPr>
        <w:pStyle w:val="Style1"/>
        <w:numPr>
          <w:ilvl w:val="0"/>
          <w:numId w:val="24"/>
        </w:numPr>
      </w:pPr>
      <w:r w:rsidRPr="00D22E1E">
        <w:rPr>
          <w:i/>
          <w:iCs/>
        </w:rPr>
        <w:t>Financial Accountability Act 2009</w:t>
      </w:r>
      <w:r w:rsidR="00BE5C22" w:rsidRPr="00546AF1">
        <w:t xml:space="preserve">, and the </w:t>
      </w:r>
    </w:p>
    <w:p w14:paraId="1EF8B342" w14:textId="3AA8D514" w:rsidR="00E14FAA" w:rsidRPr="00546AF1" w:rsidRDefault="00E14FAA" w:rsidP="00EB6567">
      <w:pPr>
        <w:pStyle w:val="Style1"/>
        <w:numPr>
          <w:ilvl w:val="0"/>
          <w:numId w:val="24"/>
        </w:numPr>
      </w:pPr>
      <w:r w:rsidRPr="00D22E1E">
        <w:rPr>
          <w:i/>
          <w:iCs/>
        </w:rPr>
        <w:t>Financial and Performance Management Standard 2009</w:t>
      </w:r>
      <w:r w:rsidR="00F771B8" w:rsidRPr="00546AF1">
        <w:t>.</w:t>
      </w:r>
    </w:p>
    <w:p w14:paraId="037FF066" w14:textId="77777777" w:rsidR="000D309B" w:rsidRPr="00546AF1" w:rsidRDefault="000D309B" w:rsidP="00EB6567">
      <w:pPr>
        <w:pStyle w:val="Style1"/>
      </w:pPr>
    </w:p>
    <w:p w14:paraId="2D83EFC3" w14:textId="6F7708C7" w:rsidR="00D16CDF" w:rsidRPr="00546AF1" w:rsidRDefault="00D16CDF" w:rsidP="00EB6567">
      <w:pPr>
        <w:pStyle w:val="Style1"/>
      </w:pPr>
      <w:r w:rsidRPr="00546AF1">
        <w:t xml:space="preserve">Additional annual reporting requirements have been published on the Queensland Government Open Data portal at </w:t>
      </w:r>
      <w:hyperlink r:id="rId15" w:history="1">
        <w:r w:rsidR="00047606" w:rsidRPr="00E538F8">
          <w:rPr>
            <w:rStyle w:val="Hyperlink"/>
          </w:rPr>
          <w:t>www.data.qld.gov.au</w:t>
        </w:r>
      </w:hyperlink>
      <w:r w:rsidRPr="00546AF1">
        <w:t>. This includes information about consultancies and overseas travel</w:t>
      </w:r>
      <w:r w:rsidR="000C29FD" w:rsidRPr="00546AF1">
        <w:t xml:space="preserve">, if relevant. </w:t>
      </w:r>
    </w:p>
    <w:p w14:paraId="0F087CA0" w14:textId="77777777" w:rsidR="00D16CDF" w:rsidRPr="00546AF1" w:rsidRDefault="00D16CDF" w:rsidP="00EB6567">
      <w:pPr>
        <w:pStyle w:val="Style1"/>
      </w:pPr>
    </w:p>
    <w:p w14:paraId="53A1C789" w14:textId="125ED32E" w:rsidR="00D16CDF" w:rsidRPr="00546AF1" w:rsidRDefault="00D16CDF" w:rsidP="00EB6567">
      <w:pPr>
        <w:pStyle w:val="Style1"/>
      </w:pPr>
      <w:r w:rsidRPr="00546AF1">
        <w:t>This annual report is licensed by the State of Queensland (</w:t>
      </w:r>
      <w:r w:rsidR="0061470B" w:rsidRPr="00546AF1">
        <w:t xml:space="preserve">Queensland </w:t>
      </w:r>
      <w:r w:rsidRPr="00546AF1">
        <w:t>Integrity Commissioner) under a Creative Commons Attribution (CC BY) 4.0 International licence.</w:t>
      </w:r>
    </w:p>
    <w:p w14:paraId="12EEF9AC" w14:textId="77777777" w:rsidR="002F721B" w:rsidRPr="00546AF1" w:rsidRDefault="002F721B" w:rsidP="00EB6567">
      <w:pPr>
        <w:pStyle w:val="Style1"/>
      </w:pPr>
    </w:p>
    <w:p w14:paraId="0070C291" w14:textId="79EBEA63" w:rsidR="00D16CDF" w:rsidRPr="00546AF1" w:rsidRDefault="00D16CDF" w:rsidP="00BE4B1E">
      <w:pPr>
        <w:rPr>
          <w:rFonts w:ascii="Times New Roman" w:hAnsi="Times New Roman"/>
          <w:szCs w:val="20"/>
        </w:rPr>
      </w:pPr>
      <w:r w:rsidRPr="00546AF1">
        <w:rPr>
          <w:rFonts w:ascii="Times New Roman" w:hAnsi="Times New Roman"/>
          <w:noProof/>
          <w:szCs w:val="20"/>
        </w:rPr>
        <w:drawing>
          <wp:inline distT="0" distB="0" distL="0" distR="0" wp14:anchorId="6B13A25B" wp14:editId="6B485ADE">
            <wp:extent cx="990835" cy="338447"/>
            <wp:effectExtent l="0" t="0" r="0" b="5080"/>
            <wp:docPr id="5" name="Picture 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292" cy="349534"/>
                    </a:xfrm>
                    <a:prstGeom prst="rect">
                      <a:avLst/>
                    </a:prstGeom>
                    <a:noFill/>
                    <a:ln>
                      <a:noFill/>
                    </a:ln>
                  </pic:spPr>
                </pic:pic>
              </a:graphicData>
            </a:graphic>
          </wp:inline>
        </w:drawing>
      </w:r>
    </w:p>
    <w:p w14:paraId="6A8BC894" w14:textId="77777777" w:rsidR="003F142D" w:rsidRPr="00546AF1" w:rsidRDefault="003F142D" w:rsidP="00BE4B1E">
      <w:pPr>
        <w:rPr>
          <w:rFonts w:ascii="Times New Roman" w:hAnsi="Times New Roman"/>
          <w:szCs w:val="20"/>
        </w:rPr>
      </w:pPr>
    </w:p>
    <w:p w14:paraId="68A93B22" w14:textId="0E5B8F15" w:rsidR="00FA642B" w:rsidRPr="00546AF1" w:rsidRDefault="00FA642B" w:rsidP="00EB6567">
      <w:pPr>
        <w:pStyle w:val="Style1"/>
      </w:pPr>
      <w:r w:rsidRPr="00546AF1">
        <w:t>© The State of Queensland (</w:t>
      </w:r>
      <w:r w:rsidR="0061470B" w:rsidRPr="00546AF1">
        <w:t xml:space="preserve">Queensland </w:t>
      </w:r>
      <w:r w:rsidRPr="00546AF1">
        <w:t xml:space="preserve">Integrity Commissioner) 2021 </w:t>
      </w:r>
    </w:p>
    <w:p w14:paraId="3F4E6623" w14:textId="5F62ACDD" w:rsidR="00FA642B" w:rsidRDefault="00FA642B" w:rsidP="00EB6567">
      <w:pPr>
        <w:pStyle w:val="Style1"/>
      </w:pPr>
      <w:r w:rsidRPr="00546AF1">
        <w:t>ISSN: 1837–2201</w:t>
      </w:r>
    </w:p>
    <w:p w14:paraId="678E8F8C" w14:textId="77777777" w:rsidR="00832B57" w:rsidRPr="00546AF1" w:rsidRDefault="00832B57" w:rsidP="00EB6567">
      <w:pPr>
        <w:pStyle w:val="Style1"/>
      </w:pPr>
    </w:p>
    <w:p w14:paraId="4854B58B" w14:textId="77777777" w:rsidR="00FA642B" w:rsidRPr="00546AF1" w:rsidRDefault="000C29FD" w:rsidP="00EB6567">
      <w:pPr>
        <w:pStyle w:val="Style1"/>
      </w:pPr>
      <w:r w:rsidRPr="00546AF1">
        <w:t>Y</w:t>
      </w:r>
      <w:r w:rsidR="00D16CDF" w:rsidRPr="00546AF1">
        <w:t>ou are free to copy, communicate</w:t>
      </w:r>
      <w:r w:rsidRPr="00546AF1">
        <w:t xml:space="preserve">, </w:t>
      </w:r>
      <w:r w:rsidR="00D16CDF" w:rsidRPr="00546AF1">
        <w:t xml:space="preserve">and adapt this annual report, </w:t>
      </w:r>
      <w:proofErr w:type="gramStart"/>
      <w:r w:rsidR="00D16CDF" w:rsidRPr="00546AF1">
        <w:t>as long as</w:t>
      </w:r>
      <w:proofErr w:type="gramEnd"/>
      <w:r w:rsidR="00D16CDF" w:rsidRPr="00546AF1">
        <w:t xml:space="preserve"> you attribute th</w:t>
      </w:r>
      <w:r w:rsidR="00FA642B" w:rsidRPr="00546AF1">
        <w:t>is work. Content from this annual report should be attributed as: The State of Queensland (Integrity Commissioner) annual report 2020–21.</w:t>
      </w:r>
    </w:p>
    <w:p w14:paraId="18BBED52" w14:textId="77777777" w:rsidR="007F25DD" w:rsidRPr="00546AF1" w:rsidRDefault="007F25DD" w:rsidP="00EB6567">
      <w:pPr>
        <w:pStyle w:val="Style1"/>
      </w:pPr>
    </w:p>
    <w:p w14:paraId="7E5061C2" w14:textId="3D1E0308" w:rsidR="007F25DD" w:rsidRPr="00546AF1" w:rsidRDefault="007F25DD" w:rsidP="00EB6567">
      <w:pPr>
        <w:pStyle w:val="Style1"/>
      </w:pPr>
      <w:r w:rsidRPr="00546AF1">
        <w:t xml:space="preserve">An electronic version of this document is available at </w:t>
      </w:r>
      <w:hyperlink r:id="rId17" w:history="1">
        <w:r w:rsidR="00047606" w:rsidRPr="00E538F8">
          <w:rPr>
            <w:rStyle w:val="Hyperlink"/>
          </w:rPr>
          <w:t>www.integrity.qld.gov.au</w:t>
        </w:r>
      </w:hyperlink>
      <w:r w:rsidR="00047606">
        <w:t xml:space="preserve"> </w:t>
      </w:r>
    </w:p>
    <w:p w14:paraId="3A26518F" w14:textId="046A03BC" w:rsidR="00D16CDF" w:rsidRPr="00546AF1" w:rsidRDefault="00D16CDF" w:rsidP="00EB6567">
      <w:pPr>
        <w:pStyle w:val="Style1"/>
      </w:pPr>
      <w:r w:rsidRPr="00546AF1">
        <w:t xml:space="preserve">To view a copy of this licence, visit </w:t>
      </w:r>
      <w:hyperlink r:id="rId18">
        <w:r w:rsidRPr="00546AF1">
          <w:rPr>
            <w:rStyle w:val="Hyperlink"/>
          </w:rPr>
          <w:t>creativecommons.org/licenses/by/4.0/</w:t>
        </w:r>
      </w:hyperlink>
    </w:p>
    <w:p w14:paraId="38F7B9AB" w14:textId="77777777" w:rsidR="000D309B" w:rsidRPr="00546AF1" w:rsidRDefault="000D309B" w:rsidP="00EB6567">
      <w:pPr>
        <w:pStyle w:val="Style1"/>
      </w:pPr>
    </w:p>
    <w:p w14:paraId="129AB3D5" w14:textId="77777777" w:rsidR="000D309B" w:rsidRPr="00546AF1" w:rsidRDefault="000D309B" w:rsidP="00EB6567">
      <w:pPr>
        <w:pStyle w:val="Style1"/>
      </w:pPr>
      <w:r w:rsidRPr="00546AF1">
        <w:rPr>
          <w:noProof/>
        </w:rPr>
        <w:drawing>
          <wp:anchor distT="0" distB="0" distL="0" distR="0" simplePos="0" relativeHeight="251658240" behindDoc="0" locked="0" layoutInCell="1" allowOverlap="1" wp14:anchorId="78B26D3B" wp14:editId="3A2BD7F3">
            <wp:simplePos x="0" y="0"/>
            <wp:positionH relativeFrom="column">
              <wp:align>left</wp:align>
            </wp:positionH>
            <wp:positionV relativeFrom="paragraph">
              <wp:posOffset>201775</wp:posOffset>
            </wp:positionV>
            <wp:extent cx="715645" cy="690880"/>
            <wp:effectExtent l="0" t="0" r="8255" b="0"/>
            <wp:wrapTopAndBottom/>
            <wp:docPr id="8" name="image6.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descr="A picture containing text, clipart&#10;&#10;Description automatically generated"/>
                    <pic:cNvPicPr/>
                  </pic:nvPicPr>
                  <pic:blipFill>
                    <a:blip r:embed="rId19" cstate="print"/>
                    <a:stretch>
                      <a:fillRect/>
                    </a:stretch>
                  </pic:blipFill>
                  <pic:spPr>
                    <a:xfrm>
                      <a:off x="0" y="0"/>
                      <a:ext cx="715645" cy="690880"/>
                    </a:xfrm>
                    <a:prstGeom prst="rect">
                      <a:avLst/>
                    </a:prstGeom>
                  </pic:spPr>
                </pic:pic>
              </a:graphicData>
            </a:graphic>
          </wp:anchor>
        </w:drawing>
      </w:r>
      <w:r w:rsidRPr="00546AF1">
        <w:t>Interpreter service statement</w:t>
      </w:r>
    </w:p>
    <w:p w14:paraId="20A6279A" w14:textId="77777777" w:rsidR="00497AD7" w:rsidRPr="00546AF1" w:rsidRDefault="00497AD7" w:rsidP="00BE4B1E">
      <w:pPr>
        <w:rPr>
          <w:rFonts w:ascii="Times New Roman" w:hAnsi="Times New Roman"/>
          <w:szCs w:val="20"/>
        </w:rPr>
      </w:pPr>
    </w:p>
    <w:p w14:paraId="53F1BCA2" w14:textId="0F9AD645" w:rsidR="000D309B" w:rsidRPr="00546AF1" w:rsidRDefault="000D309B" w:rsidP="00EB6567">
      <w:pPr>
        <w:pStyle w:val="Style1"/>
      </w:pPr>
      <w:r w:rsidRPr="00546AF1">
        <w:t>The Queensland Government is committed to providing accessible services to Queenslanders from all culturally and linguistically diverse backgrounds. If you have difficulty in understanding the annual report, you can contact us on 13 QGOV (13 74 68) and we will arrange an interpreter to effectively communicate the report to you.</w:t>
      </w:r>
    </w:p>
    <w:p w14:paraId="421ADC40" w14:textId="77777777" w:rsidR="003F142D" w:rsidRPr="00546AF1" w:rsidRDefault="003F142D" w:rsidP="00EB6567">
      <w:pPr>
        <w:pStyle w:val="Style1"/>
      </w:pPr>
    </w:p>
    <w:p w14:paraId="1F053396" w14:textId="25C30F61" w:rsidR="000D309B" w:rsidRPr="00546AF1" w:rsidRDefault="00EC7479" w:rsidP="00EB6567">
      <w:pPr>
        <w:pStyle w:val="Style1"/>
      </w:pPr>
      <w:r w:rsidRPr="00546AF1">
        <w:t>For mo</w:t>
      </w:r>
      <w:r w:rsidR="000D309B" w:rsidRPr="00546AF1">
        <w:t>re information</w:t>
      </w:r>
      <w:r w:rsidRPr="00546AF1">
        <w:t>, c</w:t>
      </w:r>
      <w:r w:rsidR="000D309B" w:rsidRPr="00546AF1">
        <w:t>ontact the</w:t>
      </w:r>
      <w:r w:rsidR="00960F82" w:rsidRPr="00546AF1">
        <w:t xml:space="preserve"> Queensland</w:t>
      </w:r>
      <w:r w:rsidR="000D309B" w:rsidRPr="00546AF1">
        <w:t xml:space="preserve"> Integrity Commissioner:</w:t>
      </w:r>
    </w:p>
    <w:p w14:paraId="2598CE98" w14:textId="77777777" w:rsidR="000D309B" w:rsidRPr="00546AF1" w:rsidRDefault="000D309B" w:rsidP="00EB6567">
      <w:pPr>
        <w:pStyle w:val="Style1"/>
      </w:pPr>
      <w:r w:rsidRPr="00546AF1">
        <w:t xml:space="preserve">PO Box 15290, City East, Brisbane QLD 4002 </w:t>
      </w:r>
    </w:p>
    <w:p w14:paraId="723A7389" w14:textId="77777777" w:rsidR="000D309B" w:rsidRPr="00546AF1" w:rsidRDefault="000D309B" w:rsidP="00EB6567">
      <w:pPr>
        <w:pStyle w:val="Style1"/>
      </w:pPr>
      <w:r w:rsidRPr="00546AF1">
        <w:t>(07) 3003 2888</w:t>
      </w:r>
    </w:p>
    <w:p w14:paraId="476F3233" w14:textId="0A27DD4F" w:rsidR="000D309B" w:rsidRPr="00546AF1" w:rsidRDefault="00B87461" w:rsidP="00EB6567">
      <w:pPr>
        <w:pStyle w:val="Style1"/>
      </w:pPr>
      <w:hyperlink r:id="rId20" w:history="1">
        <w:r w:rsidR="00576CF7" w:rsidRPr="00546AF1">
          <w:rPr>
            <w:rStyle w:val="Hyperlink"/>
          </w:rPr>
          <w:t>office@integrity.qld.gov.au</w:t>
        </w:r>
      </w:hyperlink>
    </w:p>
    <w:p w14:paraId="2F6CA211" w14:textId="77777777" w:rsidR="00576CF7" w:rsidRPr="00546AF1" w:rsidRDefault="00576CF7" w:rsidP="00EB6567">
      <w:pPr>
        <w:pStyle w:val="Style1"/>
      </w:pPr>
    </w:p>
    <w:p w14:paraId="359BE676" w14:textId="77177E24" w:rsidR="00621150" w:rsidRPr="00546AF1" w:rsidRDefault="00621150" w:rsidP="00BE4B1E">
      <w:pPr>
        <w:rPr>
          <w:rFonts w:ascii="Times New Roman" w:hAnsi="Times New Roman"/>
          <w:szCs w:val="20"/>
        </w:rPr>
      </w:pPr>
    </w:p>
    <w:p w14:paraId="11DCE93C" w14:textId="62EC6CF9" w:rsidR="00F45552" w:rsidRPr="00546AF1" w:rsidRDefault="00F45552" w:rsidP="00BE4B1E">
      <w:pPr>
        <w:rPr>
          <w:rFonts w:ascii="Times New Roman" w:hAnsi="Times New Roman"/>
          <w:szCs w:val="20"/>
        </w:rPr>
      </w:pPr>
    </w:p>
    <w:p w14:paraId="21CCF008" w14:textId="34734F2F" w:rsidR="00EE052D" w:rsidRPr="00546AF1" w:rsidRDefault="00EE052D">
      <w:pPr>
        <w:jc w:val="left"/>
        <w:rPr>
          <w:rFonts w:ascii="Times New Roman" w:hAnsi="Times New Roman"/>
          <w:szCs w:val="20"/>
        </w:rPr>
      </w:pPr>
      <w:r w:rsidRPr="00546AF1">
        <w:rPr>
          <w:rFonts w:ascii="Times New Roman" w:hAnsi="Times New Roman"/>
          <w:szCs w:val="20"/>
        </w:rPr>
        <w:br w:type="page"/>
      </w:r>
    </w:p>
    <w:p w14:paraId="46B196F0" w14:textId="77777777" w:rsidR="008B6173" w:rsidRPr="00546AF1" w:rsidRDefault="008B6173" w:rsidP="00BE4B1E">
      <w:pPr>
        <w:rPr>
          <w:rFonts w:ascii="Times New Roman" w:hAnsi="Times New Roman"/>
        </w:rPr>
      </w:pPr>
    </w:p>
    <w:sdt>
      <w:sdtPr>
        <w:rPr>
          <w:rFonts w:ascii="Times New Roman" w:eastAsia="Times New Roman" w:hAnsi="Times New Roman" w:cs="Times New Roman"/>
          <w:color w:val="auto"/>
          <w:sz w:val="20"/>
          <w:szCs w:val="24"/>
          <w:lang w:val="en-AU" w:eastAsia="en-AU"/>
        </w:rPr>
        <w:id w:val="-1064185295"/>
        <w:docPartObj>
          <w:docPartGallery w:val="Table of Contents"/>
          <w:docPartUnique/>
        </w:docPartObj>
      </w:sdtPr>
      <w:sdtEndPr>
        <w:rPr>
          <w:b/>
          <w:bCs/>
          <w:noProof/>
        </w:rPr>
      </w:sdtEndPr>
      <w:sdtContent>
        <w:p w14:paraId="009C3CB2" w14:textId="2DC297F7" w:rsidR="00AC12FE" w:rsidRPr="00814FB3" w:rsidRDefault="00AC12FE">
          <w:pPr>
            <w:pStyle w:val="TOCHeading"/>
            <w:rPr>
              <w:rFonts w:ascii="Times New Roman" w:hAnsi="Times New Roman" w:cs="Times New Roman"/>
              <w:color w:val="5D876F"/>
            </w:rPr>
          </w:pPr>
          <w:r w:rsidRPr="00814FB3">
            <w:rPr>
              <w:rFonts w:ascii="Times New Roman" w:hAnsi="Times New Roman" w:cs="Times New Roman"/>
              <w:color w:val="5D876F"/>
            </w:rPr>
            <w:t>Contents</w:t>
          </w:r>
        </w:p>
        <w:p w14:paraId="1D4CB99F" w14:textId="77777777" w:rsidR="006B1C20" w:rsidRPr="00546AF1" w:rsidRDefault="006B1C20" w:rsidP="006B1C20">
          <w:pPr>
            <w:rPr>
              <w:rFonts w:ascii="Times New Roman" w:hAnsi="Times New Roman"/>
              <w:lang w:val="en-US" w:eastAsia="en-US"/>
            </w:rPr>
          </w:pPr>
        </w:p>
        <w:p w14:paraId="5A401A13" w14:textId="0E006182" w:rsidR="00467516" w:rsidRPr="00467516" w:rsidRDefault="00AC12FE" w:rsidP="00832B57">
          <w:pPr>
            <w:pStyle w:val="TOC2"/>
            <w:spacing w:before="120" w:after="240"/>
            <w:rPr>
              <w:rFonts w:ascii="Times New Roman" w:eastAsiaTheme="minorEastAsia" w:hAnsi="Times New Roman"/>
              <w:sz w:val="22"/>
              <w:szCs w:val="22"/>
              <w:lang w:val="en-US" w:eastAsia="en-US"/>
            </w:rPr>
          </w:pPr>
          <w:r w:rsidRPr="00546AF1">
            <w:rPr>
              <w:rFonts w:ascii="Times New Roman" w:hAnsi="Times New Roman"/>
            </w:rPr>
            <w:fldChar w:fldCharType="begin"/>
          </w:r>
          <w:r w:rsidRPr="00546AF1">
            <w:rPr>
              <w:rFonts w:ascii="Times New Roman" w:hAnsi="Times New Roman"/>
            </w:rPr>
            <w:instrText xml:space="preserve"> TOC \o "1-3" \h \z \u </w:instrText>
          </w:r>
          <w:r w:rsidRPr="00546AF1">
            <w:rPr>
              <w:rFonts w:ascii="Times New Roman" w:hAnsi="Times New Roman"/>
            </w:rPr>
            <w:fldChar w:fldCharType="separate"/>
          </w:r>
          <w:hyperlink w:anchor="_Toc83822835" w:history="1">
            <w:r w:rsidR="00467516" w:rsidRPr="00467516">
              <w:rPr>
                <w:rStyle w:val="Hyperlink"/>
                <w:rFonts w:ascii="Times New Roman" w:hAnsi="Times New Roman"/>
              </w:rPr>
              <w:t>About this Report</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_Toc83822835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2</w:t>
            </w:r>
            <w:r w:rsidR="00467516" w:rsidRPr="00467516">
              <w:rPr>
                <w:rFonts w:ascii="Times New Roman" w:hAnsi="Times New Roman"/>
                <w:webHidden/>
              </w:rPr>
              <w:fldChar w:fldCharType="end"/>
            </w:r>
          </w:hyperlink>
        </w:p>
        <w:p w14:paraId="68352171" w14:textId="72437203"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36" w:history="1">
            <w:r w:rsidR="00467516" w:rsidRPr="00467516">
              <w:rPr>
                <w:rStyle w:val="Hyperlink"/>
                <w:rFonts w:ascii="Times New Roman" w:hAnsi="Times New Roman"/>
              </w:rPr>
              <w:t>1. Letter to the Speaker</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_Toc83822836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4</w:t>
            </w:r>
            <w:r w:rsidR="00467516" w:rsidRPr="00467516">
              <w:rPr>
                <w:rFonts w:ascii="Times New Roman" w:hAnsi="Times New Roman"/>
                <w:webHidden/>
              </w:rPr>
              <w:fldChar w:fldCharType="end"/>
            </w:r>
          </w:hyperlink>
        </w:p>
        <w:p w14:paraId="5950E462" w14:textId="7ADE3E03"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37" w:history="1">
            <w:r w:rsidR="00467516" w:rsidRPr="00467516">
              <w:rPr>
                <w:rStyle w:val="Hyperlink"/>
                <w:rFonts w:ascii="Times New Roman" w:hAnsi="Times New Roman"/>
              </w:rPr>
              <w:t>2. Acknowledgment of Country</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_Toc83822837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5</w:t>
            </w:r>
            <w:r w:rsidR="00467516" w:rsidRPr="00467516">
              <w:rPr>
                <w:rFonts w:ascii="Times New Roman" w:hAnsi="Times New Roman"/>
                <w:webHidden/>
              </w:rPr>
              <w:fldChar w:fldCharType="end"/>
            </w:r>
          </w:hyperlink>
        </w:p>
        <w:p w14:paraId="0F5678DE" w14:textId="3AE47458"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38" w:history="1">
            <w:r w:rsidR="00467516" w:rsidRPr="00467516">
              <w:rPr>
                <w:rStyle w:val="Hyperlink"/>
                <w:rFonts w:ascii="Times New Roman" w:hAnsi="Times New Roman"/>
              </w:rPr>
              <w:t>3. Welcome and the Commissioner’s overview of the reporting year</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_Toc83822838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6</w:t>
            </w:r>
            <w:r w:rsidR="00467516" w:rsidRPr="00467516">
              <w:rPr>
                <w:rFonts w:ascii="Times New Roman" w:hAnsi="Times New Roman"/>
                <w:webHidden/>
              </w:rPr>
              <w:fldChar w:fldCharType="end"/>
            </w:r>
          </w:hyperlink>
        </w:p>
        <w:p w14:paraId="03679A65" w14:textId="41DAE850"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39" w:history="1">
            <w:r w:rsidR="00467516" w:rsidRPr="00467516">
              <w:rPr>
                <w:rStyle w:val="Hyperlink"/>
                <w:rFonts w:ascii="Times New Roman" w:hAnsi="Times New Roman"/>
              </w:rPr>
              <w:t>4. About the Queensland Integrity Commissioner</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_Toc83822839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9</w:t>
            </w:r>
            <w:r w:rsidR="00467516" w:rsidRPr="00467516">
              <w:rPr>
                <w:rFonts w:ascii="Times New Roman" w:hAnsi="Times New Roman"/>
                <w:webHidden/>
              </w:rPr>
              <w:fldChar w:fldCharType="end"/>
            </w:r>
          </w:hyperlink>
        </w:p>
        <w:p w14:paraId="724C6A7E" w14:textId="0ECDA253"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46" w:history="1">
            <w:r w:rsidR="00467516" w:rsidRPr="00467516">
              <w:rPr>
                <w:rStyle w:val="Hyperlink"/>
                <w:rFonts w:ascii="Times New Roman" w:hAnsi="Times New Roman"/>
              </w:rPr>
              <w:t>5. About the current Commissioner</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_Toc83822846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10</w:t>
            </w:r>
            <w:r w:rsidR="00467516" w:rsidRPr="00467516">
              <w:rPr>
                <w:rFonts w:ascii="Times New Roman" w:hAnsi="Times New Roman"/>
                <w:webHidden/>
              </w:rPr>
              <w:fldChar w:fldCharType="end"/>
            </w:r>
          </w:hyperlink>
        </w:p>
        <w:p w14:paraId="789E62D9" w14:textId="7C6CFC52"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47" w:history="1">
            <w:r w:rsidR="00467516" w:rsidRPr="00467516">
              <w:rPr>
                <w:rStyle w:val="Hyperlink"/>
                <w:rFonts w:ascii="Times New Roman" w:hAnsi="Times New Roman"/>
              </w:rPr>
              <w:t>6. Activity dashboard</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_Toc83822847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11</w:t>
            </w:r>
            <w:r w:rsidR="00467516" w:rsidRPr="00467516">
              <w:rPr>
                <w:rFonts w:ascii="Times New Roman" w:hAnsi="Times New Roman"/>
                <w:webHidden/>
              </w:rPr>
              <w:fldChar w:fldCharType="end"/>
            </w:r>
          </w:hyperlink>
        </w:p>
        <w:p w14:paraId="6F43216E" w14:textId="5F943CFF"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48" w:history="1">
            <w:r w:rsidR="00467516" w:rsidRPr="00467516">
              <w:rPr>
                <w:rStyle w:val="Hyperlink"/>
                <w:rFonts w:ascii="Times New Roman" w:hAnsi="Times New Roman"/>
              </w:rPr>
              <w:t>7. Advice on ethics, integrity, and interest issues</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_Toc83822848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12</w:t>
            </w:r>
            <w:r w:rsidR="00467516" w:rsidRPr="00467516">
              <w:rPr>
                <w:rFonts w:ascii="Times New Roman" w:hAnsi="Times New Roman"/>
                <w:webHidden/>
              </w:rPr>
              <w:fldChar w:fldCharType="end"/>
            </w:r>
          </w:hyperlink>
        </w:p>
        <w:p w14:paraId="0F643ACF" w14:textId="5310EB17"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53" w:history="1">
            <w:r w:rsidR="00467516" w:rsidRPr="00467516">
              <w:rPr>
                <w:rStyle w:val="Hyperlink"/>
                <w:rFonts w:ascii="Times New Roman" w:hAnsi="Times New Roman"/>
              </w:rPr>
              <w:t>8. Regulation of lobbying activity</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_Toc83822853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16</w:t>
            </w:r>
            <w:r w:rsidR="00467516" w:rsidRPr="00467516">
              <w:rPr>
                <w:rFonts w:ascii="Times New Roman" w:hAnsi="Times New Roman"/>
                <w:webHidden/>
              </w:rPr>
              <w:fldChar w:fldCharType="end"/>
            </w:r>
          </w:hyperlink>
        </w:p>
        <w:p w14:paraId="064CE772" w14:textId="69C40428"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58" w:history="1">
            <w:r w:rsidR="00467516" w:rsidRPr="00467516">
              <w:rPr>
                <w:rStyle w:val="Hyperlink"/>
                <w:rFonts w:ascii="Times New Roman" w:hAnsi="Times New Roman"/>
              </w:rPr>
              <w:t>9. Raising public awareness of ethics and integrity matters</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_Toc83822858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20</w:t>
            </w:r>
            <w:r w:rsidR="00467516" w:rsidRPr="00467516">
              <w:rPr>
                <w:rFonts w:ascii="Times New Roman" w:hAnsi="Times New Roman"/>
                <w:webHidden/>
              </w:rPr>
              <w:fldChar w:fldCharType="end"/>
            </w:r>
          </w:hyperlink>
        </w:p>
        <w:p w14:paraId="1F271583" w14:textId="7DF8067C"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64" w:history="1">
            <w:r w:rsidR="00467516" w:rsidRPr="00467516">
              <w:rPr>
                <w:rStyle w:val="Hyperlink"/>
                <w:rFonts w:ascii="Times New Roman" w:hAnsi="Times New Roman"/>
              </w:rPr>
              <w:t>10. Compliance Obligations</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_Toc83822864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23</w:t>
            </w:r>
            <w:r w:rsidR="00467516" w:rsidRPr="00467516">
              <w:rPr>
                <w:rFonts w:ascii="Times New Roman" w:hAnsi="Times New Roman"/>
                <w:webHidden/>
              </w:rPr>
              <w:fldChar w:fldCharType="end"/>
            </w:r>
          </w:hyperlink>
        </w:p>
        <w:p w14:paraId="54EEA222" w14:textId="25CC697F" w:rsidR="00467516" w:rsidRPr="00467516" w:rsidRDefault="00B87461" w:rsidP="00832B57">
          <w:pPr>
            <w:pStyle w:val="TOC2"/>
            <w:spacing w:before="120" w:after="240"/>
            <w:rPr>
              <w:rFonts w:ascii="Times New Roman" w:eastAsiaTheme="minorEastAsia" w:hAnsi="Times New Roman"/>
              <w:sz w:val="22"/>
              <w:szCs w:val="22"/>
              <w:lang w:val="en-US" w:eastAsia="en-US"/>
            </w:rPr>
          </w:pPr>
          <w:hyperlink w:anchor="_Toc83822868" w:history="1">
            <w:r w:rsidR="00467516" w:rsidRPr="00467516">
              <w:rPr>
                <w:rStyle w:val="Hyperlink"/>
                <w:rFonts w:ascii="Times New Roman" w:hAnsi="Times New Roman"/>
              </w:rPr>
              <w:t>11. Administration and Governance Arrangements</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_Toc83822868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25</w:t>
            </w:r>
            <w:r w:rsidR="00467516" w:rsidRPr="00467516">
              <w:rPr>
                <w:rFonts w:ascii="Times New Roman" w:hAnsi="Times New Roman"/>
                <w:webHidden/>
              </w:rPr>
              <w:fldChar w:fldCharType="end"/>
            </w:r>
          </w:hyperlink>
        </w:p>
        <w:p w14:paraId="78B348B8" w14:textId="1C30F906" w:rsidR="00467516" w:rsidRDefault="00B87461" w:rsidP="00832B57">
          <w:pPr>
            <w:pStyle w:val="TOC2"/>
            <w:spacing w:before="120" w:after="240"/>
            <w:rPr>
              <w:rFonts w:eastAsiaTheme="minorEastAsia" w:cstheme="minorBidi"/>
              <w:sz w:val="22"/>
              <w:szCs w:val="22"/>
              <w:lang w:val="en-US" w:eastAsia="en-US"/>
            </w:rPr>
          </w:pPr>
          <w:hyperlink w:anchor="_Toc83822872" w:history="1">
            <w:r w:rsidR="00467516" w:rsidRPr="00467516">
              <w:rPr>
                <w:rStyle w:val="Hyperlink"/>
                <w:rFonts w:ascii="Times New Roman" w:hAnsi="Times New Roman"/>
                <w:w w:val="110"/>
              </w:rPr>
              <w:t>12. Financial Statement</w:t>
            </w:r>
            <w:r w:rsidR="00467516" w:rsidRPr="00467516">
              <w:rPr>
                <w:rFonts w:ascii="Times New Roman" w:hAnsi="Times New Roman"/>
                <w:webHidden/>
              </w:rPr>
              <w:tab/>
            </w:r>
            <w:r w:rsidR="00467516" w:rsidRPr="00467516">
              <w:rPr>
                <w:rFonts w:ascii="Times New Roman" w:hAnsi="Times New Roman"/>
                <w:webHidden/>
              </w:rPr>
              <w:fldChar w:fldCharType="begin"/>
            </w:r>
            <w:r w:rsidR="00467516" w:rsidRPr="00467516">
              <w:rPr>
                <w:rFonts w:ascii="Times New Roman" w:hAnsi="Times New Roman"/>
                <w:webHidden/>
              </w:rPr>
              <w:instrText xml:space="preserve"> PAGEREF _Toc83822872 \h </w:instrText>
            </w:r>
            <w:r w:rsidR="00467516" w:rsidRPr="00467516">
              <w:rPr>
                <w:rFonts w:ascii="Times New Roman" w:hAnsi="Times New Roman"/>
                <w:webHidden/>
              </w:rPr>
            </w:r>
            <w:r w:rsidR="00467516" w:rsidRPr="00467516">
              <w:rPr>
                <w:rFonts w:ascii="Times New Roman" w:hAnsi="Times New Roman"/>
                <w:webHidden/>
              </w:rPr>
              <w:fldChar w:fldCharType="separate"/>
            </w:r>
            <w:r w:rsidR="007A530A">
              <w:rPr>
                <w:rFonts w:ascii="Times New Roman" w:hAnsi="Times New Roman"/>
                <w:webHidden/>
              </w:rPr>
              <w:t>28</w:t>
            </w:r>
            <w:r w:rsidR="00467516" w:rsidRPr="00467516">
              <w:rPr>
                <w:rFonts w:ascii="Times New Roman" w:hAnsi="Times New Roman"/>
                <w:webHidden/>
              </w:rPr>
              <w:fldChar w:fldCharType="end"/>
            </w:r>
          </w:hyperlink>
        </w:p>
        <w:p w14:paraId="04D1216E" w14:textId="10F9C2FE" w:rsidR="00AC12FE" w:rsidRPr="00546AF1" w:rsidRDefault="00AC12FE" w:rsidP="00C0749A">
          <w:pPr>
            <w:spacing w:before="120" w:after="120"/>
            <w:rPr>
              <w:rFonts w:ascii="Times New Roman" w:hAnsi="Times New Roman"/>
            </w:rPr>
          </w:pPr>
          <w:r w:rsidRPr="00546AF1">
            <w:rPr>
              <w:rFonts w:ascii="Times New Roman" w:hAnsi="Times New Roman"/>
              <w:b/>
              <w:bCs/>
              <w:noProof/>
            </w:rPr>
            <w:fldChar w:fldCharType="end"/>
          </w:r>
        </w:p>
      </w:sdtContent>
    </w:sdt>
    <w:p w14:paraId="536117E7" w14:textId="77777777" w:rsidR="00832B57" w:rsidRDefault="00832B57" w:rsidP="00BE4B1E">
      <w:pPr>
        <w:rPr>
          <w:rFonts w:ascii="Times New Roman" w:hAnsi="Times New Roman"/>
        </w:rPr>
      </w:pPr>
    </w:p>
    <w:p w14:paraId="6897E5EC" w14:textId="69789E62" w:rsidR="008B6173" w:rsidRPr="00546AF1" w:rsidRDefault="008B6173" w:rsidP="00BE4B1E">
      <w:pPr>
        <w:rPr>
          <w:rFonts w:ascii="Times New Roman" w:hAnsi="Times New Roman"/>
        </w:rPr>
      </w:pPr>
      <w:r w:rsidRPr="00546AF1">
        <w:rPr>
          <w:rFonts w:ascii="Times New Roman" w:hAnsi="Times New Roman"/>
        </w:rPr>
        <w:br w:type="page"/>
      </w:r>
    </w:p>
    <w:p w14:paraId="460CF3A5" w14:textId="463B6565" w:rsidR="00A624D7" w:rsidRPr="00546AF1" w:rsidRDefault="004F0005" w:rsidP="007C149C">
      <w:pPr>
        <w:pStyle w:val="Heading2"/>
      </w:pPr>
      <w:bookmarkStart w:id="3" w:name="_Toc83044359"/>
      <w:bookmarkStart w:id="4" w:name="_Toc83731220"/>
      <w:bookmarkStart w:id="5" w:name="_Toc83822836"/>
      <w:r>
        <w:lastRenderedPageBreak/>
        <w:t xml:space="preserve">1. </w:t>
      </w:r>
      <w:r w:rsidR="00D1244B" w:rsidRPr="00546AF1">
        <w:t>Letter to the Speaker</w:t>
      </w:r>
      <w:bookmarkEnd w:id="3"/>
      <w:bookmarkEnd w:id="4"/>
      <w:bookmarkEnd w:id="5"/>
      <w:r w:rsidR="00D1244B" w:rsidRPr="00546AF1">
        <w:t xml:space="preserve"> </w:t>
      </w:r>
    </w:p>
    <w:p w14:paraId="11EFED39" w14:textId="77777777" w:rsidR="00D1244B" w:rsidRPr="00546AF1" w:rsidRDefault="00D1244B" w:rsidP="00F24663">
      <w:pPr>
        <w:spacing w:line="276" w:lineRule="auto"/>
        <w:rPr>
          <w:rFonts w:ascii="Times New Roman" w:hAnsi="Times New Roman"/>
          <w:szCs w:val="20"/>
        </w:rPr>
      </w:pPr>
    </w:p>
    <w:p w14:paraId="67E17C71" w14:textId="77777777" w:rsidR="00D1244B" w:rsidRPr="00546AF1" w:rsidRDefault="00D1244B" w:rsidP="00F24663">
      <w:pPr>
        <w:spacing w:line="276" w:lineRule="auto"/>
        <w:rPr>
          <w:rFonts w:ascii="Times New Roman" w:hAnsi="Times New Roman"/>
          <w:szCs w:val="20"/>
        </w:rPr>
      </w:pPr>
    </w:p>
    <w:p w14:paraId="0B12DC97" w14:textId="789E3198" w:rsidR="00DB060E" w:rsidRPr="00546AF1" w:rsidRDefault="00DB060E" w:rsidP="00EB6567">
      <w:pPr>
        <w:pStyle w:val="Style1"/>
      </w:pPr>
      <w:r w:rsidRPr="00546AF1">
        <w:t>30 September 2021</w:t>
      </w:r>
    </w:p>
    <w:p w14:paraId="6DA53DB5" w14:textId="5DBDCBF9" w:rsidR="00DB060E" w:rsidRPr="00546AF1" w:rsidRDefault="00DB060E" w:rsidP="00EB6567">
      <w:pPr>
        <w:pStyle w:val="Style1"/>
      </w:pPr>
    </w:p>
    <w:p w14:paraId="5547077E" w14:textId="77777777" w:rsidR="00700318" w:rsidRPr="00546AF1" w:rsidRDefault="00700318" w:rsidP="00EB6567">
      <w:pPr>
        <w:pStyle w:val="Style1"/>
      </w:pPr>
    </w:p>
    <w:p w14:paraId="773D3313" w14:textId="77777777" w:rsidR="00DB060E" w:rsidRPr="00546AF1" w:rsidRDefault="00DB060E" w:rsidP="00EB6567">
      <w:pPr>
        <w:pStyle w:val="Style1"/>
      </w:pPr>
      <w:r w:rsidRPr="00546AF1">
        <w:t xml:space="preserve">The Honourable Curtis Pitt MP </w:t>
      </w:r>
    </w:p>
    <w:p w14:paraId="01DD5685" w14:textId="77777777" w:rsidR="00DB060E" w:rsidRPr="00546AF1" w:rsidRDefault="00DB060E" w:rsidP="00EB6567">
      <w:pPr>
        <w:pStyle w:val="Style1"/>
      </w:pPr>
      <w:r w:rsidRPr="00546AF1">
        <w:t>Speaker of the Legislative Assembly</w:t>
      </w:r>
    </w:p>
    <w:p w14:paraId="234CCE1C" w14:textId="77777777" w:rsidR="00DB060E" w:rsidRPr="00546AF1" w:rsidRDefault="00DB060E" w:rsidP="00EB6567">
      <w:pPr>
        <w:pStyle w:val="Style1"/>
      </w:pPr>
      <w:r w:rsidRPr="00546AF1">
        <w:t>Parliament House</w:t>
      </w:r>
    </w:p>
    <w:p w14:paraId="548BDEF1" w14:textId="77777777" w:rsidR="00DB060E" w:rsidRPr="00546AF1" w:rsidRDefault="00DB060E" w:rsidP="00EB6567">
      <w:pPr>
        <w:pStyle w:val="Style1"/>
      </w:pPr>
      <w:r w:rsidRPr="00546AF1">
        <w:t>George Street</w:t>
      </w:r>
    </w:p>
    <w:p w14:paraId="14F49B12" w14:textId="67FAE4F5" w:rsidR="00DB060E" w:rsidRPr="00546AF1" w:rsidRDefault="00546AF1" w:rsidP="00EB6567">
      <w:pPr>
        <w:pStyle w:val="Style1"/>
      </w:pPr>
      <w:proofErr w:type="gramStart"/>
      <w:r w:rsidRPr="00546AF1">
        <w:t>BRISBANE</w:t>
      </w:r>
      <w:r w:rsidR="00DB060E" w:rsidRPr="00546AF1">
        <w:t xml:space="preserve"> </w:t>
      </w:r>
      <w:r>
        <w:t xml:space="preserve"> </w:t>
      </w:r>
      <w:r w:rsidR="00DB060E" w:rsidRPr="00546AF1">
        <w:t>Q</w:t>
      </w:r>
      <w:r>
        <w:t>LD</w:t>
      </w:r>
      <w:proofErr w:type="gramEnd"/>
      <w:r>
        <w:t xml:space="preserve">  </w:t>
      </w:r>
      <w:r w:rsidR="00DB060E" w:rsidRPr="00546AF1">
        <w:t>4000</w:t>
      </w:r>
    </w:p>
    <w:p w14:paraId="73E0263C" w14:textId="20F7462A" w:rsidR="001E0597" w:rsidRPr="00546AF1" w:rsidRDefault="001E0597" w:rsidP="00EB6567">
      <w:pPr>
        <w:pStyle w:val="Style1"/>
      </w:pPr>
    </w:p>
    <w:p w14:paraId="494B877C" w14:textId="77777777" w:rsidR="00700318" w:rsidRPr="00546AF1" w:rsidRDefault="00700318" w:rsidP="00EB6567">
      <w:pPr>
        <w:pStyle w:val="Style1"/>
      </w:pPr>
    </w:p>
    <w:p w14:paraId="3661A462" w14:textId="35D56A89" w:rsidR="001E0597" w:rsidRPr="00546AF1" w:rsidRDefault="001E0597" w:rsidP="00EB6567">
      <w:pPr>
        <w:pStyle w:val="Style1"/>
      </w:pPr>
      <w:r w:rsidRPr="00546AF1">
        <w:t>Dear Mr Speaker</w:t>
      </w:r>
    </w:p>
    <w:p w14:paraId="5764CEDA" w14:textId="77777777" w:rsidR="007F25DD" w:rsidRPr="00546AF1" w:rsidRDefault="007F25DD" w:rsidP="00EB6567">
      <w:pPr>
        <w:pStyle w:val="Style1"/>
      </w:pPr>
    </w:p>
    <w:p w14:paraId="1639F4FD" w14:textId="3634DD2E" w:rsidR="001E0597" w:rsidRPr="00546AF1" w:rsidRDefault="001E0597" w:rsidP="00EB6567">
      <w:pPr>
        <w:pStyle w:val="Style1"/>
      </w:pPr>
      <w:bookmarkStart w:id="6" w:name="_Hlk83826351"/>
      <w:r w:rsidRPr="00546AF1">
        <w:t xml:space="preserve">I am pleased to provide you with the </w:t>
      </w:r>
      <w:r w:rsidR="00110026" w:rsidRPr="00546AF1">
        <w:t xml:space="preserve">Queensland Integrity Commissioner Annual </w:t>
      </w:r>
      <w:r w:rsidRPr="00546AF1">
        <w:t>Report 2020</w:t>
      </w:r>
      <w:r w:rsidR="00047606">
        <w:noBreakHyphen/>
      </w:r>
      <w:r w:rsidRPr="00546AF1">
        <w:t xml:space="preserve">21. </w:t>
      </w:r>
    </w:p>
    <w:p w14:paraId="3638D123" w14:textId="77777777" w:rsidR="007F25DD" w:rsidRPr="00546AF1" w:rsidRDefault="007F25DD" w:rsidP="00EB6567">
      <w:pPr>
        <w:pStyle w:val="Style1"/>
      </w:pPr>
    </w:p>
    <w:p w14:paraId="5AEC0876" w14:textId="50FED011" w:rsidR="001E0597" w:rsidRPr="00546AF1" w:rsidRDefault="001E0597" w:rsidP="00EB6567">
      <w:pPr>
        <w:pStyle w:val="Style1"/>
      </w:pPr>
      <w:r w:rsidRPr="00546AF1">
        <w:t xml:space="preserve">This is the fourth annual report since my appointment as </w:t>
      </w:r>
      <w:r w:rsidR="00AF33EB" w:rsidRPr="00546AF1">
        <w:t xml:space="preserve">Queensland </w:t>
      </w:r>
      <w:r w:rsidRPr="00546AF1">
        <w:t xml:space="preserve">Integrity Commissioner, and the twelfth report </w:t>
      </w:r>
      <w:r w:rsidR="00876087" w:rsidRPr="00546AF1">
        <w:t xml:space="preserve">provided pursuant to </w:t>
      </w:r>
      <w:r w:rsidRPr="00546AF1">
        <w:t xml:space="preserve">section 85 of the </w:t>
      </w:r>
      <w:r w:rsidRPr="00546AF1">
        <w:rPr>
          <w:i/>
          <w:iCs/>
        </w:rPr>
        <w:t>Integrity Act 2009.</w:t>
      </w:r>
      <w:r w:rsidRPr="00546AF1">
        <w:t xml:space="preserve"> Previous Annual Reports were provided to the Premier as required by </w:t>
      </w:r>
      <w:r w:rsidR="00876087" w:rsidRPr="00546AF1">
        <w:t xml:space="preserve">the </w:t>
      </w:r>
      <w:r w:rsidRPr="00546AF1">
        <w:rPr>
          <w:i/>
          <w:iCs/>
        </w:rPr>
        <w:t>Public Sector Ethics Act 1994</w:t>
      </w:r>
      <w:r w:rsidRPr="00546AF1">
        <w:t>.</w:t>
      </w:r>
    </w:p>
    <w:p w14:paraId="1236E0E5" w14:textId="77777777" w:rsidR="007F25DD" w:rsidRPr="00546AF1" w:rsidRDefault="007F25DD" w:rsidP="00EB6567">
      <w:pPr>
        <w:pStyle w:val="Style1"/>
      </w:pPr>
    </w:p>
    <w:p w14:paraId="2C0D6DEF" w14:textId="2F7C15AF" w:rsidR="001E0597" w:rsidRPr="00546AF1" w:rsidRDefault="001E0597" w:rsidP="00EB6567">
      <w:pPr>
        <w:pStyle w:val="Style1"/>
      </w:pPr>
      <w:r w:rsidRPr="00546AF1">
        <w:t xml:space="preserve">The Annual Report </w:t>
      </w:r>
      <w:r w:rsidR="00876087" w:rsidRPr="00546AF1">
        <w:t xml:space="preserve">highlights </w:t>
      </w:r>
      <w:r w:rsidRPr="00546AF1">
        <w:t xml:space="preserve">a further period of </w:t>
      </w:r>
      <w:r w:rsidR="001748CA" w:rsidRPr="00546AF1">
        <w:t xml:space="preserve">sustained activity </w:t>
      </w:r>
      <w:r w:rsidR="00190E4F" w:rsidRPr="00546AF1">
        <w:t xml:space="preserve">relating to </w:t>
      </w:r>
      <w:r w:rsidR="001748CA" w:rsidRPr="00546AF1">
        <w:t xml:space="preserve">both the advice </w:t>
      </w:r>
      <w:r w:rsidR="006811CF" w:rsidRPr="00546AF1">
        <w:t xml:space="preserve">and </w:t>
      </w:r>
      <w:r w:rsidR="001748CA" w:rsidRPr="00546AF1">
        <w:t xml:space="preserve">lobbying </w:t>
      </w:r>
      <w:r w:rsidR="006811CF" w:rsidRPr="00546AF1">
        <w:t>regulation functions.</w:t>
      </w:r>
      <w:r w:rsidR="001748CA" w:rsidRPr="00546AF1">
        <w:t xml:space="preserve"> </w:t>
      </w:r>
    </w:p>
    <w:p w14:paraId="650F73E3" w14:textId="77777777" w:rsidR="007F25DD" w:rsidRPr="00546AF1" w:rsidRDefault="007F25DD" w:rsidP="00EB6567">
      <w:pPr>
        <w:pStyle w:val="Style1"/>
      </w:pPr>
    </w:p>
    <w:p w14:paraId="5070636E" w14:textId="1CDDC00E" w:rsidR="00861533" w:rsidRPr="00546AF1" w:rsidRDefault="001E0597" w:rsidP="00EB6567">
      <w:pPr>
        <w:pStyle w:val="Style1"/>
      </w:pPr>
      <w:r w:rsidRPr="00546AF1">
        <w:t xml:space="preserve">I am fortunate to enjoy the assistance and dedication of my staff who have supported me </w:t>
      </w:r>
      <w:r w:rsidR="0004500B" w:rsidRPr="00546AF1">
        <w:t xml:space="preserve">as I sought to </w:t>
      </w:r>
      <w:r w:rsidRPr="00546AF1">
        <w:t>fulfil my statutory obligations</w:t>
      </w:r>
      <w:r w:rsidR="0004500B" w:rsidRPr="00546AF1">
        <w:t xml:space="preserve">. </w:t>
      </w:r>
      <w:r w:rsidRPr="00546AF1">
        <w:t xml:space="preserve">I wish to extend my gratitude to them. </w:t>
      </w:r>
    </w:p>
    <w:p w14:paraId="021DA4D8" w14:textId="77777777" w:rsidR="007F25DD" w:rsidRPr="00546AF1" w:rsidRDefault="007F25DD" w:rsidP="00EB6567">
      <w:pPr>
        <w:pStyle w:val="Style1"/>
      </w:pPr>
    </w:p>
    <w:p w14:paraId="1A3F4637" w14:textId="46499815" w:rsidR="001E0597" w:rsidRPr="00546AF1" w:rsidRDefault="00861533" w:rsidP="00EB6567">
      <w:pPr>
        <w:pStyle w:val="Style1"/>
      </w:pPr>
      <w:r w:rsidRPr="00546AF1">
        <w:t xml:space="preserve">I would also </w:t>
      </w:r>
      <w:r w:rsidR="001E0597" w:rsidRPr="00546AF1">
        <w:t xml:space="preserve">like to </w:t>
      </w:r>
      <w:r w:rsidRPr="00546AF1">
        <w:t xml:space="preserve">acknowledge the efforts of those </w:t>
      </w:r>
      <w:r w:rsidR="001E0597" w:rsidRPr="00546AF1">
        <w:t>in public office and public institutions who have responded to the community’s desire for a heightened level of integrity and ethical awareness in the public sector.</w:t>
      </w:r>
    </w:p>
    <w:p w14:paraId="105C3E84" w14:textId="77777777" w:rsidR="007F25DD" w:rsidRPr="00546AF1" w:rsidRDefault="007F25DD" w:rsidP="00EB6567">
      <w:pPr>
        <w:pStyle w:val="Style1"/>
      </w:pPr>
    </w:p>
    <w:p w14:paraId="648222AD" w14:textId="77777777" w:rsidR="007F25DD" w:rsidRPr="00546AF1" w:rsidRDefault="001E0597" w:rsidP="00EB6567">
      <w:pPr>
        <w:pStyle w:val="Style1"/>
      </w:pPr>
      <w:r w:rsidRPr="00546AF1">
        <w:t xml:space="preserve">I confirm the Annual Report complies with section 85 of the </w:t>
      </w:r>
      <w:r w:rsidRPr="00546AF1">
        <w:rPr>
          <w:i/>
          <w:iCs/>
        </w:rPr>
        <w:t>Integrity Act 2009</w:t>
      </w:r>
      <w:r w:rsidRPr="00546AF1">
        <w:t xml:space="preserve">. </w:t>
      </w:r>
    </w:p>
    <w:p w14:paraId="15C80786" w14:textId="77777777" w:rsidR="007F25DD" w:rsidRPr="00546AF1" w:rsidRDefault="007F25DD" w:rsidP="00EB6567">
      <w:pPr>
        <w:pStyle w:val="Style1"/>
      </w:pPr>
    </w:p>
    <w:p w14:paraId="08755E09" w14:textId="6F792687" w:rsidR="001E0597" w:rsidRPr="00546AF1" w:rsidRDefault="001E0597" w:rsidP="00EB6567">
      <w:pPr>
        <w:pStyle w:val="Style1"/>
      </w:pPr>
      <w:r w:rsidRPr="00546AF1">
        <w:t xml:space="preserve">I also confirm the Annual Report is in general terms and does not contain information likely to identify advisees. </w:t>
      </w:r>
    </w:p>
    <w:p w14:paraId="7F050C1C" w14:textId="77777777" w:rsidR="007F25DD" w:rsidRPr="00546AF1" w:rsidRDefault="007F25DD" w:rsidP="00EB6567">
      <w:pPr>
        <w:pStyle w:val="Style1"/>
      </w:pPr>
    </w:p>
    <w:bookmarkEnd w:id="6"/>
    <w:p w14:paraId="7B48DAA4" w14:textId="77777777" w:rsidR="007F25DD" w:rsidRPr="00546AF1" w:rsidRDefault="007F25DD" w:rsidP="00EB6567">
      <w:pPr>
        <w:pStyle w:val="Style1"/>
      </w:pPr>
    </w:p>
    <w:p w14:paraId="6ED98B52" w14:textId="0587D53B" w:rsidR="00DB060E" w:rsidRPr="00546AF1" w:rsidRDefault="00DB060E" w:rsidP="00EB6567">
      <w:pPr>
        <w:pStyle w:val="Style1"/>
      </w:pPr>
      <w:r w:rsidRPr="00546AF1">
        <w:t>Yours sincerely</w:t>
      </w:r>
    </w:p>
    <w:p w14:paraId="470BFBCB" w14:textId="17CB323C" w:rsidR="001E0597" w:rsidRPr="00546AF1" w:rsidRDefault="001E0597" w:rsidP="00EB6567">
      <w:pPr>
        <w:pStyle w:val="Style1"/>
      </w:pPr>
    </w:p>
    <w:p w14:paraId="0EC6F5C7" w14:textId="68FD0AC8" w:rsidR="00A76D51" w:rsidRPr="00546AF1" w:rsidRDefault="00233CEF" w:rsidP="007F25DD">
      <w:pPr>
        <w:spacing w:line="276" w:lineRule="auto"/>
        <w:rPr>
          <w:rFonts w:ascii="Times New Roman" w:hAnsi="Times New Roman"/>
          <w:szCs w:val="20"/>
        </w:rPr>
      </w:pPr>
      <w:r w:rsidRPr="00546AF1">
        <w:rPr>
          <w:rFonts w:ascii="Times New Roman" w:hAnsi="Times New Roman"/>
          <w:noProof/>
        </w:rPr>
        <w:drawing>
          <wp:inline distT="0" distB="0" distL="0" distR="0" wp14:anchorId="1FBD63EF" wp14:editId="3F084FFB">
            <wp:extent cx="2874645" cy="533286"/>
            <wp:effectExtent l="0" t="0" r="1905" b="635"/>
            <wp:docPr id="3" name="Picture 3"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rotWithShape="1">
                    <a:blip r:embed="rId21">
                      <a:extLst>
                        <a:ext uri="{28A0092B-C50C-407E-A947-70E740481C1C}">
                          <a14:useLocalDpi xmlns:a14="http://schemas.microsoft.com/office/drawing/2010/main" val="0"/>
                        </a:ext>
                      </a:extLst>
                    </a:blip>
                    <a:srcRect t="40850"/>
                    <a:stretch/>
                  </pic:blipFill>
                  <pic:spPr bwMode="auto">
                    <a:xfrm>
                      <a:off x="0" y="0"/>
                      <a:ext cx="2882258" cy="534698"/>
                    </a:xfrm>
                    <a:prstGeom prst="rect">
                      <a:avLst/>
                    </a:prstGeom>
                    <a:ln>
                      <a:noFill/>
                    </a:ln>
                    <a:extLst>
                      <a:ext uri="{53640926-AAD7-44D8-BBD7-CCE9431645EC}">
                        <a14:shadowObscured xmlns:a14="http://schemas.microsoft.com/office/drawing/2010/main"/>
                      </a:ext>
                    </a:extLst>
                  </pic:spPr>
                </pic:pic>
              </a:graphicData>
            </a:graphic>
          </wp:inline>
        </w:drawing>
      </w:r>
    </w:p>
    <w:p w14:paraId="2C99A4E6" w14:textId="77777777" w:rsidR="00BE4B1E" w:rsidRPr="00546AF1" w:rsidRDefault="00DB060E" w:rsidP="00EB6567">
      <w:pPr>
        <w:pStyle w:val="Style1"/>
      </w:pPr>
      <w:r w:rsidRPr="00546AF1">
        <w:t>Dr Nikola Stepanov PhD (</w:t>
      </w:r>
      <w:proofErr w:type="spellStart"/>
      <w:r w:rsidRPr="00546AF1">
        <w:t>Melb</w:t>
      </w:r>
      <w:proofErr w:type="spellEnd"/>
      <w:r w:rsidRPr="00546AF1">
        <w:t>.)</w:t>
      </w:r>
    </w:p>
    <w:p w14:paraId="7FF5ADB6" w14:textId="45148813" w:rsidR="00EF5748" w:rsidRPr="00546AF1" w:rsidRDefault="00DB060E" w:rsidP="00EB6567">
      <w:pPr>
        <w:pStyle w:val="Style1"/>
      </w:pPr>
      <w:r w:rsidRPr="00546AF1">
        <w:t xml:space="preserve">Queensland </w:t>
      </w:r>
      <w:r w:rsidR="00546AF1" w:rsidRPr="00546AF1">
        <w:t>Integrity Commissioner</w:t>
      </w:r>
    </w:p>
    <w:p w14:paraId="2A7ED3BD" w14:textId="77777777" w:rsidR="00BE4B1E" w:rsidRPr="00546AF1" w:rsidRDefault="00BE4B1E" w:rsidP="00546AF1">
      <w:pPr>
        <w:pStyle w:val="Heading2"/>
        <w:keepNext w:val="0"/>
        <w:rPr>
          <w:color w:val="auto"/>
          <w:sz w:val="20"/>
          <w:szCs w:val="18"/>
        </w:rPr>
      </w:pPr>
      <w:bookmarkStart w:id="7" w:name="_Toc83044360"/>
      <w:bookmarkStart w:id="8" w:name="_Toc433364905"/>
      <w:bookmarkStart w:id="9" w:name="Instructional"/>
      <w:r w:rsidRPr="00546AF1">
        <w:br w:type="page"/>
      </w:r>
    </w:p>
    <w:p w14:paraId="57065AB5" w14:textId="07B0D301" w:rsidR="00961632" w:rsidRPr="00546AF1" w:rsidRDefault="004F0005" w:rsidP="007C149C">
      <w:pPr>
        <w:pStyle w:val="Heading2"/>
      </w:pPr>
      <w:bookmarkStart w:id="10" w:name="_Toc83731221"/>
      <w:bookmarkStart w:id="11" w:name="_Toc83822837"/>
      <w:r>
        <w:lastRenderedPageBreak/>
        <w:t xml:space="preserve">2. </w:t>
      </w:r>
      <w:r w:rsidR="0063313C" w:rsidRPr="00546AF1">
        <w:t>Acknowledgment of Coun</w:t>
      </w:r>
      <w:r w:rsidR="00EE052D" w:rsidRPr="00546AF1">
        <w:t>try</w:t>
      </w:r>
      <w:bookmarkEnd w:id="10"/>
      <w:bookmarkEnd w:id="11"/>
      <w:r w:rsidR="00EE052D" w:rsidRPr="00546AF1">
        <w:t xml:space="preserve"> </w:t>
      </w:r>
    </w:p>
    <w:p w14:paraId="1446DE49" w14:textId="77777777" w:rsidR="00961632" w:rsidRPr="00C0749A" w:rsidRDefault="00961632" w:rsidP="00C0749A">
      <w:pPr>
        <w:rPr>
          <w:rFonts w:ascii="Times New Roman" w:hAnsi="Times New Roman"/>
        </w:rPr>
      </w:pPr>
    </w:p>
    <w:p w14:paraId="0246FAE4" w14:textId="04234CEC" w:rsidR="00C00B60" w:rsidRPr="00546AF1" w:rsidRDefault="00961632" w:rsidP="00EB6567">
      <w:pPr>
        <w:pStyle w:val="Style1"/>
      </w:pPr>
      <w:r w:rsidRPr="00C0749A">
        <w:t xml:space="preserve">The Queensland </w:t>
      </w:r>
      <w:r w:rsidR="00110026" w:rsidRPr="00C0749A">
        <w:t>Integrity Commissioner a</w:t>
      </w:r>
      <w:r w:rsidRPr="00C0749A">
        <w:t>nd staff wish to ackno</w:t>
      </w:r>
      <w:r w:rsidR="00463BC0" w:rsidRPr="00C0749A">
        <w:t>wledge the Aboriginal peoples and Torres Strait Islander peoples, the</w:t>
      </w:r>
      <w:r w:rsidR="00463BC0" w:rsidRPr="00546AF1">
        <w:t xml:space="preserve"> Traditional </w:t>
      </w:r>
      <w:r w:rsidR="00646CB1" w:rsidRPr="00546AF1">
        <w:t xml:space="preserve">Owners and Custodians of the Country on which </w:t>
      </w:r>
      <w:r w:rsidR="00C00B60" w:rsidRPr="00546AF1">
        <w:t>we live and work.</w:t>
      </w:r>
    </w:p>
    <w:p w14:paraId="41418CF5" w14:textId="77777777" w:rsidR="007865BD" w:rsidRPr="00546AF1" w:rsidRDefault="007865BD" w:rsidP="00EB6567">
      <w:pPr>
        <w:pStyle w:val="Style1"/>
      </w:pPr>
    </w:p>
    <w:p w14:paraId="2107A544" w14:textId="77777777" w:rsidR="00A70D3C" w:rsidRPr="00546AF1" w:rsidRDefault="00C00B60" w:rsidP="00EB6567">
      <w:pPr>
        <w:pStyle w:val="Style1"/>
      </w:pPr>
      <w:r w:rsidRPr="00546AF1">
        <w:t xml:space="preserve">We recognise and appreciate their deep </w:t>
      </w:r>
      <w:r w:rsidR="008A15BC" w:rsidRPr="00546AF1">
        <w:t xml:space="preserve">and continuing relationship </w:t>
      </w:r>
      <w:r w:rsidRPr="00546AF1">
        <w:t>to the land, waters, and seas of Queensland and the Torres Strait</w:t>
      </w:r>
      <w:r w:rsidR="00DB5C8A" w:rsidRPr="00546AF1">
        <w:t xml:space="preserve">s. </w:t>
      </w:r>
    </w:p>
    <w:p w14:paraId="0C077E18" w14:textId="77777777" w:rsidR="00A70D3C" w:rsidRPr="00546AF1" w:rsidRDefault="00A70D3C" w:rsidP="00EB6567">
      <w:pPr>
        <w:pStyle w:val="Style1"/>
      </w:pPr>
    </w:p>
    <w:p w14:paraId="597D1F53" w14:textId="77777777" w:rsidR="00A70D3C" w:rsidRPr="00546AF1" w:rsidRDefault="00FC7BC1" w:rsidP="00EB6567">
      <w:pPr>
        <w:pStyle w:val="Style1"/>
      </w:pPr>
      <w:r w:rsidRPr="00546AF1">
        <w:t xml:space="preserve">We thank them for </w:t>
      </w:r>
      <w:r w:rsidR="000C2943" w:rsidRPr="00546AF1">
        <w:t xml:space="preserve">protecting our Queensland </w:t>
      </w:r>
      <w:r w:rsidR="00532D8A" w:rsidRPr="00546AF1">
        <w:t xml:space="preserve">lands, </w:t>
      </w:r>
      <w:r w:rsidR="000C2943" w:rsidRPr="00546AF1">
        <w:t>coastline</w:t>
      </w:r>
      <w:r w:rsidR="00532D8A" w:rsidRPr="00546AF1">
        <w:t xml:space="preserve">, </w:t>
      </w:r>
      <w:r w:rsidR="000C2943" w:rsidRPr="00546AF1">
        <w:t xml:space="preserve">and its ecosystems since time immemorial. </w:t>
      </w:r>
    </w:p>
    <w:p w14:paraId="70850662" w14:textId="3A52CDB2" w:rsidR="009C23E5" w:rsidRPr="00546AF1" w:rsidRDefault="009C23E5" w:rsidP="00EB6567">
      <w:pPr>
        <w:pStyle w:val="Style1"/>
      </w:pPr>
    </w:p>
    <w:p w14:paraId="3434DB20" w14:textId="77777777" w:rsidR="009C23E5" w:rsidRPr="00546AF1" w:rsidRDefault="009C23E5" w:rsidP="00EB6567">
      <w:pPr>
        <w:pStyle w:val="Style1"/>
      </w:pPr>
      <w:r w:rsidRPr="00546AF1">
        <w:t xml:space="preserve">We recognise and value their stories, culture, history, and diversity. </w:t>
      </w:r>
    </w:p>
    <w:p w14:paraId="42320E69" w14:textId="77777777" w:rsidR="00870F64" w:rsidRPr="00546AF1" w:rsidRDefault="00870F64" w:rsidP="00EB6567">
      <w:pPr>
        <w:pStyle w:val="Style1"/>
      </w:pPr>
    </w:p>
    <w:p w14:paraId="6BDAFD58" w14:textId="08C3B69C" w:rsidR="00EE05ED" w:rsidRPr="00546AF1" w:rsidRDefault="00DB5C8A" w:rsidP="00EB6567">
      <w:pPr>
        <w:pStyle w:val="Style1"/>
      </w:pPr>
      <w:r w:rsidRPr="00546AF1">
        <w:t xml:space="preserve">We </w:t>
      </w:r>
      <w:r w:rsidR="00A13F0A" w:rsidRPr="00546AF1">
        <w:t xml:space="preserve">wish to </w:t>
      </w:r>
      <w:r w:rsidRPr="00546AF1">
        <w:t xml:space="preserve">pay our respects to </w:t>
      </w:r>
      <w:r w:rsidR="008A513D" w:rsidRPr="00546AF1">
        <w:t xml:space="preserve">First Nations peoples, </w:t>
      </w:r>
      <w:r w:rsidRPr="00546AF1">
        <w:t xml:space="preserve">to their </w:t>
      </w:r>
      <w:r w:rsidR="00226972" w:rsidRPr="00546AF1">
        <w:t>culture</w:t>
      </w:r>
      <w:r w:rsidRPr="00546AF1">
        <w:t>, to their Elders</w:t>
      </w:r>
      <w:r w:rsidR="00226972" w:rsidRPr="00546AF1">
        <w:t xml:space="preserve">, past, </w:t>
      </w:r>
      <w:proofErr w:type="gramStart"/>
      <w:r w:rsidR="00226972" w:rsidRPr="00546AF1">
        <w:t>present</w:t>
      </w:r>
      <w:proofErr w:type="gramEnd"/>
      <w:r w:rsidR="00226972" w:rsidRPr="00546AF1">
        <w:t xml:space="preserve"> and emerging</w:t>
      </w:r>
      <w:r w:rsidR="009E2A50" w:rsidRPr="00546AF1">
        <w:t xml:space="preserve">. </w:t>
      </w:r>
    </w:p>
    <w:p w14:paraId="69357F9A" w14:textId="446D14C1" w:rsidR="00777332" w:rsidRPr="00546AF1" w:rsidRDefault="00777332" w:rsidP="00EB6567">
      <w:pPr>
        <w:pStyle w:val="Style1"/>
      </w:pPr>
    </w:p>
    <w:p w14:paraId="72293B6B" w14:textId="77777777" w:rsidR="00EE05ED" w:rsidRPr="00546AF1" w:rsidRDefault="00EE05ED" w:rsidP="00EB6567">
      <w:pPr>
        <w:pStyle w:val="Style1"/>
      </w:pPr>
    </w:p>
    <w:p w14:paraId="31514F54" w14:textId="0C2E1620" w:rsidR="0063313C" w:rsidRPr="00546AF1" w:rsidRDefault="0063313C" w:rsidP="00EB6567">
      <w:pPr>
        <w:pStyle w:val="Style1"/>
      </w:pPr>
      <w:r w:rsidRPr="00546AF1">
        <w:br w:type="page"/>
      </w:r>
    </w:p>
    <w:p w14:paraId="796F4E38" w14:textId="7A2A3420" w:rsidR="002276B9" w:rsidRPr="00546AF1" w:rsidRDefault="004F0005" w:rsidP="007C149C">
      <w:pPr>
        <w:pStyle w:val="Heading2"/>
      </w:pPr>
      <w:bookmarkStart w:id="12" w:name="_Toc83731222"/>
      <w:bookmarkStart w:id="13" w:name="_Toc83822838"/>
      <w:r>
        <w:lastRenderedPageBreak/>
        <w:t xml:space="preserve">3. </w:t>
      </w:r>
      <w:r w:rsidR="002276B9" w:rsidRPr="00546AF1">
        <w:t>Welcome</w:t>
      </w:r>
      <w:bookmarkEnd w:id="7"/>
      <w:r w:rsidR="006F6A92" w:rsidRPr="00546AF1">
        <w:t xml:space="preserve"> and </w:t>
      </w:r>
      <w:r w:rsidR="000B6000" w:rsidRPr="00546AF1">
        <w:t xml:space="preserve">the Commissioner’s </w:t>
      </w:r>
      <w:r w:rsidR="006F6A92" w:rsidRPr="00546AF1">
        <w:t>overview of the reporting year</w:t>
      </w:r>
      <w:bookmarkEnd w:id="12"/>
      <w:bookmarkEnd w:id="13"/>
    </w:p>
    <w:p w14:paraId="137D491D" w14:textId="77777777" w:rsidR="00EA6296" w:rsidRDefault="00EA6296" w:rsidP="00EB6567">
      <w:pPr>
        <w:pStyle w:val="Style1"/>
      </w:pPr>
    </w:p>
    <w:p w14:paraId="4833E292" w14:textId="55720D83" w:rsidR="00E45664" w:rsidRPr="00546AF1" w:rsidRDefault="00E45664" w:rsidP="00EB6567">
      <w:pPr>
        <w:pStyle w:val="Style1"/>
      </w:pPr>
      <w:r w:rsidRPr="00546AF1">
        <w:t xml:space="preserve">This Annual Report covers the 2020–21 financial year and marks the end my fourth year as the Queensland </w:t>
      </w:r>
      <w:r w:rsidR="00110026" w:rsidRPr="00546AF1">
        <w:t xml:space="preserve">Integrity Commissioner </w:t>
      </w:r>
      <w:r w:rsidR="004E09C8" w:rsidRPr="00546AF1">
        <w:t>(QIC)</w:t>
      </w:r>
      <w:r w:rsidRPr="00546AF1">
        <w:t xml:space="preserve">, having been reappointed by the Governor in Council for a further term of three years from 1 July 2020. </w:t>
      </w:r>
    </w:p>
    <w:p w14:paraId="0987E631" w14:textId="77777777" w:rsidR="00E45664" w:rsidRPr="00546AF1" w:rsidRDefault="00E45664" w:rsidP="00EB6567">
      <w:pPr>
        <w:pStyle w:val="Style1"/>
      </w:pPr>
    </w:p>
    <w:p w14:paraId="3D968F89" w14:textId="68E9FF70" w:rsidR="00E45664" w:rsidRPr="00546AF1" w:rsidRDefault="00E45664" w:rsidP="00EB6567">
      <w:pPr>
        <w:pStyle w:val="Style1"/>
      </w:pPr>
      <w:r w:rsidRPr="00546AF1">
        <w:t xml:space="preserve">This financial year saw a continuation of the sustained demand for advice on ethics, integrity, and interest issues experienced during my tenure as the </w:t>
      </w:r>
      <w:r w:rsidR="004E09C8" w:rsidRPr="00546AF1">
        <w:t>QIC</w:t>
      </w:r>
      <w:r w:rsidRPr="00546AF1">
        <w:t xml:space="preserve">, </w:t>
      </w:r>
      <w:proofErr w:type="gramStart"/>
      <w:r w:rsidRPr="00546AF1">
        <w:t>and also</w:t>
      </w:r>
      <w:proofErr w:type="gramEnd"/>
      <w:r w:rsidRPr="00546AF1">
        <w:t xml:space="preserve"> saw a substantial </w:t>
      </w:r>
      <w:r w:rsidR="002F2FA3">
        <w:t xml:space="preserve">increase </w:t>
      </w:r>
      <w:r w:rsidRPr="00546AF1">
        <w:t xml:space="preserve">in </w:t>
      </w:r>
      <w:r w:rsidR="002F2FA3">
        <w:t xml:space="preserve">recorded </w:t>
      </w:r>
      <w:r w:rsidRPr="00546AF1">
        <w:t xml:space="preserve">lobbying activity. </w:t>
      </w:r>
    </w:p>
    <w:p w14:paraId="4697C06D" w14:textId="77777777" w:rsidR="00CA3805" w:rsidRPr="00546AF1" w:rsidRDefault="00CA3805" w:rsidP="00EB6567">
      <w:pPr>
        <w:pStyle w:val="Style1"/>
      </w:pPr>
    </w:p>
    <w:p w14:paraId="14B3A83E" w14:textId="307A1B53" w:rsidR="00311D28" w:rsidRPr="00546AF1" w:rsidRDefault="00311D28" w:rsidP="00F41A4B">
      <w:pPr>
        <w:pStyle w:val="Heading4"/>
      </w:pPr>
      <w:r w:rsidRPr="00546AF1">
        <w:t xml:space="preserve">Advice on ethics, integrity, and interest issues </w:t>
      </w:r>
    </w:p>
    <w:p w14:paraId="2F510EA4" w14:textId="44B6E402" w:rsidR="006170AF" w:rsidRPr="00546AF1" w:rsidRDefault="006170AF" w:rsidP="00EB6567">
      <w:pPr>
        <w:pStyle w:val="Style1"/>
      </w:pPr>
      <w:r w:rsidRPr="00546AF1">
        <w:t xml:space="preserve">Overall, my office received 271 formal requests for advice, of which 233 </w:t>
      </w:r>
      <w:r w:rsidR="00877D14" w:rsidRPr="00546AF1">
        <w:t xml:space="preserve">related to an </w:t>
      </w:r>
      <w:r w:rsidRPr="00546AF1">
        <w:t>ethics, integrity, or interest issue</w:t>
      </w:r>
      <w:r w:rsidR="002F2FA3">
        <w:t>s</w:t>
      </w:r>
      <w:r w:rsidRPr="00546AF1">
        <w:t xml:space="preserve">; as well, 38 formal requests for advice were received regarding the conduct of </w:t>
      </w:r>
      <w:r w:rsidR="00596D10" w:rsidRPr="00546AF1">
        <w:t xml:space="preserve">registered </w:t>
      </w:r>
      <w:r w:rsidRPr="00546AF1">
        <w:t xml:space="preserve">lobbyists or lobbing related activity more generally. </w:t>
      </w:r>
    </w:p>
    <w:p w14:paraId="53AB7CE6" w14:textId="77777777" w:rsidR="006170AF" w:rsidRPr="00546AF1" w:rsidRDefault="006170AF" w:rsidP="00EB6567">
      <w:pPr>
        <w:pStyle w:val="Style1"/>
      </w:pPr>
    </w:p>
    <w:p w14:paraId="74E35CCB" w14:textId="3C460532" w:rsidR="006170AF" w:rsidRPr="00546AF1" w:rsidRDefault="006170AF" w:rsidP="00EB6567">
      <w:pPr>
        <w:pStyle w:val="Style1"/>
      </w:pPr>
      <w:r w:rsidRPr="00546AF1">
        <w:t xml:space="preserve">In response to the 233 requests for advice on ethics, integrity, and interest issues, written advice was provided on 129 occasions, and oral advice was provided on 36 occasions (as provided for under section 23 of the </w:t>
      </w:r>
      <w:r w:rsidRPr="00546AF1">
        <w:rPr>
          <w:i/>
          <w:iCs/>
        </w:rPr>
        <w:t>Integrity Act 2009</w:t>
      </w:r>
      <w:r w:rsidRPr="00546AF1">
        <w:t xml:space="preserve"> (the Act)</w:t>
      </w:r>
      <w:r w:rsidR="009F3E95">
        <w:t>.</w:t>
      </w:r>
    </w:p>
    <w:p w14:paraId="516BBE66" w14:textId="77777777" w:rsidR="006170AF" w:rsidRPr="00546AF1" w:rsidRDefault="006170AF" w:rsidP="00EB6567">
      <w:pPr>
        <w:pStyle w:val="Style1"/>
      </w:pPr>
    </w:p>
    <w:p w14:paraId="2D742333" w14:textId="265EAADE" w:rsidR="006170AF" w:rsidRPr="00546AF1" w:rsidRDefault="006170AF" w:rsidP="00EB6567">
      <w:pPr>
        <w:pStyle w:val="Style1"/>
      </w:pPr>
      <w:r w:rsidRPr="00546AF1">
        <w:t xml:space="preserve">Unfortunately, I was unable to provide advice in response to all requests received. On two separate occasions during the financial year, I </w:t>
      </w:r>
      <w:r w:rsidR="00596D10" w:rsidRPr="00546AF1">
        <w:t xml:space="preserve">was obliged to </w:t>
      </w:r>
      <w:r w:rsidR="00110026" w:rsidRPr="00546AF1">
        <w:t>introduce</w:t>
      </w:r>
      <w:r w:rsidRPr="00546AF1">
        <w:t xml:space="preserve"> interim service limits for period</w:t>
      </w:r>
      <w:r w:rsidR="002F2FA3">
        <w:t xml:space="preserve">s </w:t>
      </w:r>
      <w:r w:rsidRPr="00546AF1">
        <w:t>when my ability to adequately respond to requests for advice was substantially affected by:</w:t>
      </w:r>
    </w:p>
    <w:p w14:paraId="072D49FD" w14:textId="489F933D" w:rsidR="006170AF" w:rsidRPr="00546AF1" w:rsidRDefault="006170AF" w:rsidP="00EB6567">
      <w:pPr>
        <w:pStyle w:val="Style1"/>
        <w:numPr>
          <w:ilvl w:val="0"/>
          <w:numId w:val="36"/>
        </w:numPr>
      </w:pPr>
      <w:r w:rsidRPr="00546AF1">
        <w:t xml:space="preserve">surges of activity in the number of requests for advice I received, </w:t>
      </w:r>
      <w:proofErr w:type="gramStart"/>
      <w:r w:rsidRPr="00546AF1">
        <w:t>in particular the</w:t>
      </w:r>
      <w:proofErr w:type="gramEnd"/>
      <w:r w:rsidR="00581853" w:rsidRPr="00546AF1">
        <w:t xml:space="preserve"> </w:t>
      </w:r>
      <w:r w:rsidRPr="00546AF1">
        <w:t>period following the State election</w:t>
      </w:r>
      <w:r w:rsidR="00FC319E">
        <w:t xml:space="preserve"> </w:t>
      </w:r>
      <w:r w:rsidRPr="00546AF1">
        <w:t>when Ministers and Assistant Ministers are obliged</w:t>
      </w:r>
      <w:r w:rsidR="00FC319E">
        <w:t xml:space="preserve">, </w:t>
      </w:r>
      <w:r w:rsidRPr="00546AF1">
        <w:t>under the Ministerial Code of Conduct</w:t>
      </w:r>
      <w:r w:rsidR="00FC319E">
        <w:t>,</w:t>
      </w:r>
      <w:r w:rsidRPr="00546AF1">
        <w:t xml:space="preserve"> to seek my advice within a specified timeframe</w:t>
      </w:r>
    </w:p>
    <w:p w14:paraId="6F7C20A9" w14:textId="3983AC2B" w:rsidR="006170AF" w:rsidRPr="00546AF1" w:rsidRDefault="006170AF" w:rsidP="00EB6567">
      <w:pPr>
        <w:pStyle w:val="Style1"/>
        <w:numPr>
          <w:ilvl w:val="0"/>
          <w:numId w:val="36"/>
        </w:numPr>
      </w:pPr>
      <w:r w:rsidRPr="00546AF1">
        <w:t>a significant rise in the number of reports received relating to potential breaches of the Lobbying Code of Conduct</w:t>
      </w:r>
      <w:r w:rsidR="00FC319E">
        <w:t>,</w:t>
      </w:r>
      <w:r w:rsidRPr="00546AF1">
        <w:t xml:space="preserve"> and </w:t>
      </w:r>
    </w:p>
    <w:p w14:paraId="07FDE49D" w14:textId="0F7F032E" w:rsidR="006170AF" w:rsidRPr="00546AF1" w:rsidRDefault="006170AF" w:rsidP="00EB6567">
      <w:pPr>
        <w:pStyle w:val="Style1"/>
        <w:numPr>
          <w:ilvl w:val="0"/>
          <w:numId w:val="36"/>
        </w:numPr>
      </w:pPr>
      <w:r w:rsidRPr="00546AF1">
        <w:t>reductions in the number of staff available to support me in performing the functions of my office.</w:t>
      </w:r>
    </w:p>
    <w:p w14:paraId="32382032" w14:textId="77777777" w:rsidR="006170AF" w:rsidRPr="00546AF1" w:rsidRDefault="006170AF" w:rsidP="00EB6567">
      <w:pPr>
        <w:pStyle w:val="Style1"/>
      </w:pPr>
    </w:p>
    <w:p w14:paraId="2E37EABE" w14:textId="700CC082" w:rsidR="006170AF" w:rsidRDefault="00596D10" w:rsidP="00EB6567">
      <w:pPr>
        <w:pStyle w:val="Style1"/>
      </w:pPr>
      <w:r w:rsidRPr="00546AF1">
        <w:t>An</w:t>
      </w:r>
      <w:r w:rsidR="006170AF" w:rsidRPr="00546AF1">
        <w:t xml:space="preserve"> interim service limit w</w:t>
      </w:r>
      <w:r w:rsidR="005838EE" w:rsidRPr="00546AF1">
        <w:t>as</w:t>
      </w:r>
      <w:r w:rsidR="006170AF" w:rsidRPr="00546AF1">
        <w:t xml:space="preserve"> initially introduced in response to the significant surge in demand for advice in December of 2020 with 62 </w:t>
      </w:r>
      <w:r w:rsidR="00453BD1" w:rsidRPr="00546AF1">
        <w:t xml:space="preserve">requests for </w:t>
      </w:r>
      <w:r w:rsidR="006170AF" w:rsidRPr="00546AF1">
        <w:t xml:space="preserve">advice received in that month. This coincided with </w:t>
      </w:r>
      <w:r w:rsidR="00B15D55">
        <w:t>a</w:t>
      </w:r>
      <w:r w:rsidR="006170AF" w:rsidRPr="00546AF1">
        <w:t xml:space="preserve"> reduction in staffing levels</w:t>
      </w:r>
      <w:r w:rsidR="00453BD1" w:rsidRPr="00546AF1">
        <w:t xml:space="preserve">, with </w:t>
      </w:r>
      <w:r w:rsidR="006170AF" w:rsidRPr="00546AF1">
        <w:t>two support staff available</w:t>
      </w:r>
      <w:r w:rsidR="00581853" w:rsidRPr="00546AF1">
        <w:t xml:space="preserve"> to assist me </w:t>
      </w:r>
      <w:r w:rsidR="00453BD1" w:rsidRPr="00546AF1">
        <w:t xml:space="preserve">in the </w:t>
      </w:r>
      <w:r w:rsidR="00581853" w:rsidRPr="00546AF1">
        <w:t xml:space="preserve">discharge </w:t>
      </w:r>
      <w:r w:rsidR="00453BD1" w:rsidRPr="00546AF1">
        <w:t xml:space="preserve">of </w:t>
      </w:r>
      <w:r w:rsidR="00581853" w:rsidRPr="00546AF1">
        <w:t>my functions</w:t>
      </w:r>
      <w:r w:rsidR="006170AF" w:rsidRPr="00546AF1">
        <w:t xml:space="preserve">. A further interim service limit was introduced </w:t>
      </w:r>
      <w:r w:rsidR="005838EE" w:rsidRPr="00546AF1">
        <w:t xml:space="preserve">in March 2021 </w:t>
      </w:r>
      <w:r w:rsidR="006170AF" w:rsidRPr="00546AF1">
        <w:t>when the number of staff available to assist me was further</w:t>
      </w:r>
      <w:r w:rsidR="008B3DA9" w:rsidRPr="00546AF1">
        <w:t xml:space="preserve"> </w:t>
      </w:r>
      <w:r w:rsidR="006170AF" w:rsidRPr="00546AF1">
        <w:t xml:space="preserve">reduced to </w:t>
      </w:r>
      <w:r w:rsidR="005838EE" w:rsidRPr="00546AF1">
        <w:t>a single person.</w:t>
      </w:r>
    </w:p>
    <w:p w14:paraId="34422B3F" w14:textId="6981D8A4" w:rsidR="00CD6BB2" w:rsidRDefault="00CD6BB2" w:rsidP="00EB6567">
      <w:pPr>
        <w:pStyle w:val="Style1"/>
      </w:pPr>
    </w:p>
    <w:p w14:paraId="3560F3BB" w14:textId="44F1F03B" w:rsidR="00CD6BB2" w:rsidRPr="00546AF1" w:rsidRDefault="00CB255B" w:rsidP="00EB6567">
      <w:pPr>
        <w:pStyle w:val="Style1"/>
      </w:pPr>
      <w:r>
        <w:t xml:space="preserve">Regarding any changes </w:t>
      </w:r>
      <w:r w:rsidR="00AD1391">
        <w:t xml:space="preserve">this year </w:t>
      </w:r>
      <w:r>
        <w:t xml:space="preserve">in the types of </w:t>
      </w:r>
      <w:r w:rsidR="00290715">
        <w:t xml:space="preserve">requests for advice I have received, there has been a </w:t>
      </w:r>
      <w:r w:rsidR="00DF3444">
        <w:t>noticeable increase in the number of request</w:t>
      </w:r>
      <w:r w:rsidR="00290715">
        <w:t>s</w:t>
      </w:r>
      <w:r w:rsidR="00DF3444">
        <w:t xml:space="preserve"> relating to </w:t>
      </w:r>
      <w:r w:rsidR="002F43A0">
        <w:t xml:space="preserve">concerns </w:t>
      </w:r>
      <w:r w:rsidR="00AD1391">
        <w:t xml:space="preserve">about </w:t>
      </w:r>
      <w:r w:rsidR="00EC5663">
        <w:t xml:space="preserve">corrupt conduct, </w:t>
      </w:r>
      <w:r w:rsidR="00BA0B2F">
        <w:t>bullying</w:t>
      </w:r>
      <w:r w:rsidR="00EC5663">
        <w:t>,</w:t>
      </w:r>
      <w:r w:rsidR="00AD1ACF">
        <w:t xml:space="preserve"> and other improper conduct</w:t>
      </w:r>
      <w:r w:rsidR="00ED7376">
        <w:t xml:space="preserve">. The </w:t>
      </w:r>
      <w:r w:rsidR="00FC60C1">
        <w:t>concerns</w:t>
      </w:r>
      <w:r w:rsidR="00ED7376">
        <w:t xml:space="preserve"> are </w:t>
      </w:r>
      <w:r w:rsidR="000E1E04">
        <w:t>often disclos</w:t>
      </w:r>
      <w:r w:rsidR="00ED7376">
        <w:t>ed</w:t>
      </w:r>
      <w:r w:rsidR="000E1E04">
        <w:t xml:space="preserve"> whe</w:t>
      </w:r>
      <w:r w:rsidR="00291324">
        <w:t>n</w:t>
      </w:r>
      <w:r w:rsidR="000E1E04">
        <w:t xml:space="preserve"> an individual is seeking advice about </w:t>
      </w:r>
      <w:r w:rsidR="00AD1391">
        <w:t xml:space="preserve">their post-separation obligations, </w:t>
      </w:r>
      <w:r w:rsidR="00ED7376">
        <w:t xml:space="preserve">or where an individual is </w:t>
      </w:r>
      <w:r w:rsidR="00AD1391">
        <w:t>un</w:t>
      </w:r>
      <w:r w:rsidR="00ED7376">
        <w:t xml:space="preserve">sure </w:t>
      </w:r>
      <w:r w:rsidR="00AD1391">
        <w:t xml:space="preserve">as to </w:t>
      </w:r>
      <w:r w:rsidR="00ED7376">
        <w:t xml:space="preserve">which </w:t>
      </w:r>
      <w:r w:rsidR="00D749D1">
        <w:t xml:space="preserve">approach </w:t>
      </w:r>
      <w:r w:rsidR="00ED7376">
        <w:t xml:space="preserve">to take to </w:t>
      </w:r>
      <w:r w:rsidR="00D749D1">
        <w:t xml:space="preserve">resolving these matters. </w:t>
      </w:r>
      <w:r w:rsidR="000E1E04">
        <w:t xml:space="preserve">I speak in more detail about this </w:t>
      </w:r>
      <w:r w:rsidR="00EE3B7A">
        <w:t xml:space="preserve">later in the report. </w:t>
      </w:r>
      <w:r w:rsidR="000E1E04">
        <w:t xml:space="preserve"> </w:t>
      </w:r>
    </w:p>
    <w:p w14:paraId="18E9C197" w14:textId="224C67EC" w:rsidR="001561E1" w:rsidRPr="00546AF1" w:rsidRDefault="001561E1" w:rsidP="00BE4B1E">
      <w:pPr>
        <w:rPr>
          <w:rFonts w:ascii="Times New Roman" w:hAnsi="Times New Roman"/>
          <w:szCs w:val="20"/>
        </w:rPr>
      </w:pPr>
    </w:p>
    <w:p w14:paraId="7C184E5A" w14:textId="03EEFE79" w:rsidR="00776C0C" w:rsidRPr="00546AF1" w:rsidRDefault="00256585" w:rsidP="00F41A4B">
      <w:pPr>
        <w:pStyle w:val="Heading4"/>
      </w:pPr>
      <w:r w:rsidRPr="00546AF1">
        <w:t>Regulation of lobbying activity</w:t>
      </w:r>
    </w:p>
    <w:p w14:paraId="134B97D0" w14:textId="77777777" w:rsidR="00D75A0F" w:rsidRPr="00546AF1" w:rsidRDefault="00D75A0F" w:rsidP="00EB6567">
      <w:pPr>
        <w:pStyle w:val="Style1"/>
      </w:pPr>
      <w:r w:rsidRPr="00546AF1">
        <w:t xml:space="preserve">With respect to the regulation of lobbying activity under Chapter 4 of the Act, my office experienced a pronounced rise across all activities relating to the lobbying functions including the administration of the Lobbyists Register. </w:t>
      </w:r>
    </w:p>
    <w:p w14:paraId="560BB8B0" w14:textId="77777777" w:rsidR="00D75A0F" w:rsidRPr="00546AF1" w:rsidRDefault="00D75A0F" w:rsidP="00EB6567">
      <w:pPr>
        <w:pStyle w:val="Style1"/>
      </w:pPr>
    </w:p>
    <w:p w14:paraId="1AB925A3" w14:textId="717A25E2" w:rsidR="00D75A0F" w:rsidRPr="00546AF1" w:rsidRDefault="00D75A0F" w:rsidP="00EB6567">
      <w:pPr>
        <w:pStyle w:val="Style1"/>
      </w:pPr>
      <w:r w:rsidRPr="00546AF1">
        <w:t xml:space="preserve">108 notifications </w:t>
      </w:r>
      <w:r w:rsidR="002F2FA3">
        <w:t xml:space="preserve">were received relating </w:t>
      </w:r>
      <w:r w:rsidR="00EA5A54" w:rsidRPr="00546AF1">
        <w:t xml:space="preserve">to potential </w:t>
      </w:r>
      <w:r w:rsidRPr="00546AF1">
        <w:t xml:space="preserve">breaches of the lobbying provisions of the Act and the Lobbyist Code of Conduct. This heightened level of concern regarding the conduct </w:t>
      </w:r>
      <w:r w:rsidR="009D5C09" w:rsidRPr="00546AF1">
        <w:t xml:space="preserve">of </w:t>
      </w:r>
      <w:r w:rsidRPr="00546AF1">
        <w:t xml:space="preserve">lobbyists (both registered and unregistered) corresponded with a significant increase in recorded lobbying activity, increasing from an average of 239 recorded contacts per year between 2010 and 2019 to 988 recorded contacts this past financial year (based on data recorded </w:t>
      </w:r>
      <w:r w:rsidR="009D5C09" w:rsidRPr="00546AF1">
        <w:t>i</w:t>
      </w:r>
      <w:r w:rsidRPr="00546AF1">
        <w:t xml:space="preserve">n the Lobbying Contact Register). </w:t>
      </w:r>
    </w:p>
    <w:p w14:paraId="4BE58EB1" w14:textId="77777777" w:rsidR="00D75A0F" w:rsidRPr="00546AF1" w:rsidRDefault="00D75A0F" w:rsidP="00EB6567">
      <w:pPr>
        <w:pStyle w:val="Style1"/>
      </w:pPr>
    </w:p>
    <w:p w14:paraId="40A00A25" w14:textId="2F26E15A" w:rsidR="00D75A0F" w:rsidRPr="00546AF1" w:rsidRDefault="00D75A0F" w:rsidP="00EB6567">
      <w:pPr>
        <w:pStyle w:val="Style1"/>
      </w:pPr>
      <w:r w:rsidRPr="00546AF1">
        <w:t xml:space="preserve">As well, I provided written advice on </w:t>
      </w:r>
      <w:r w:rsidR="00047606">
        <w:t>nine</w:t>
      </w:r>
      <w:r w:rsidRPr="00546AF1">
        <w:t xml:space="preserve"> occasions relating to lobbying matters, mainly in conjunction with providing advice </w:t>
      </w:r>
      <w:r w:rsidR="009D5C09" w:rsidRPr="00546AF1">
        <w:t>in relation to p</w:t>
      </w:r>
      <w:r w:rsidRPr="00546AF1">
        <w:t>ost</w:t>
      </w:r>
      <w:r w:rsidR="00047606">
        <w:noBreakHyphen/>
      </w:r>
      <w:r w:rsidRPr="00546AF1">
        <w:t xml:space="preserve">separation matters. </w:t>
      </w:r>
      <w:r w:rsidR="009D5C09" w:rsidRPr="00546AF1">
        <w:t xml:space="preserve">My office also </w:t>
      </w:r>
      <w:r w:rsidRPr="00546AF1">
        <w:t xml:space="preserve">received 38 discrete enquiries relating to complex lobbying </w:t>
      </w:r>
      <w:r w:rsidR="00177EFF" w:rsidRPr="00546AF1">
        <w:t>matters and</w:t>
      </w:r>
      <w:r w:rsidRPr="00546AF1">
        <w:t xml:space="preserve"> dealt with 1</w:t>
      </w:r>
      <w:r w:rsidR="002F2FA3">
        <w:t>,</w:t>
      </w:r>
      <w:r w:rsidRPr="00546AF1">
        <w:t xml:space="preserve">545 enquiries or other communications regarding </w:t>
      </w:r>
      <w:r w:rsidR="00177EFF" w:rsidRPr="00546AF1">
        <w:t>the lobbyists register and lobbying matters generally.</w:t>
      </w:r>
    </w:p>
    <w:p w14:paraId="56B21238" w14:textId="77777777" w:rsidR="00D75A0F" w:rsidRPr="00546AF1" w:rsidRDefault="00D75A0F" w:rsidP="00EB6567">
      <w:pPr>
        <w:pStyle w:val="Style1"/>
      </w:pPr>
    </w:p>
    <w:p w14:paraId="414B412B" w14:textId="77777777" w:rsidR="003E2C89" w:rsidRDefault="00D75A0F" w:rsidP="00EB6567">
      <w:pPr>
        <w:pStyle w:val="Style1"/>
      </w:pPr>
      <w:r w:rsidRPr="00546AF1">
        <w:t xml:space="preserve">In keeping with my commitment to promote greater transparency and better record-keeping by public authorities and lobbyists, in 2019 I introduced a comprehensive lobbying audit program (lobbying audit). </w:t>
      </w:r>
    </w:p>
    <w:p w14:paraId="0871D3F3" w14:textId="2B241B03" w:rsidR="00D75A0F" w:rsidRPr="00546AF1" w:rsidRDefault="00D75A0F" w:rsidP="00EB6567">
      <w:pPr>
        <w:pStyle w:val="Style1"/>
      </w:pPr>
      <w:r w:rsidRPr="00546AF1">
        <w:t xml:space="preserve">The lobbying audit is designed to ensure that public authorities meet their responsibilities under the </w:t>
      </w:r>
      <w:r w:rsidRPr="00546AF1">
        <w:rPr>
          <w:i/>
          <w:iCs/>
        </w:rPr>
        <w:t>Public Records Act 2002</w:t>
      </w:r>
      <w:r w:rsidRPr="00546AF1">
        <w:t xml:space="preserve"> which provides that a public authority must make and keep full and accurate records of its activities, including records of contact with lobbyists. </w:t>
      </w:r>
    </w:p>
    <w:p w14:paraId="11DCD072" w14:textId="77777777" w:rsidR="00D75A0F" w:rsidRPr="00546AF1" w:rsidRDefault="00D75A0F" w:rsidP="00EB6567">
      <w:pPr>
        <w:pStyle w:val="Style1"/>
      </w:pPr>
    </w:p>
    <w:p w14:paraId="5F355D9C" w14:textId="2638D41D" w:rsidR="00D75A0F" w:rsidRPr="00546AF1" w:rsidRDefault="00D75A0F" w:rsidP="00EB6567">
      <w:pPr>
        <w:pStyle w:val="Style1"/>
      </w:pPr>
      <w:r w:rsidRPr="00546AF1">
        <w:t xml:space="preserve">As part of the audit, I formally requested the </w:t>
      </w:r>
      <w:r w:rsidR="002F2FA3">
        <w:t>21</w:t>
      </w:r>
      <w:r w:rsidRPr="00546AF1">
        <w:t xml:space="preserve"> chief executives of departments of government, and the 77 chief executive officers of local governments, conduct a review of </w:t>
      </w:r>
      <w:r w:rsidR="00BC0DED">
        <w:t xml:space="preserve">their </w:t>
      </w:r>
      <w:r w:rsidRPr="00546AF1">
        <w:t>locally held records of contact with lobbyists</w:t>
      </w:r>
      <w:r w:rsidR="00BA016B">
        <w:t>, and compare the results with</w:t>
      </w:r>
      <w:r w:rsidRPr="00546AF1">
        <w:t xml:space="preserve"> data entered </w:t>
      </w:r>
      <w:r w:rsidR="00DF28E2" w:rsidRPr="00546AF1">
        <w:t>i</w:t>
      </w:r>
      <w:r w:rsidRPr="00546AF1">
        <w:t>n the lobbyists register for the preceding 12</w:t>
      </w:r>
      <w:r w:rsidR="00047606">
        <w:noBreakHyphen/>
      </w:r>
      <w:r w:rsidRPr="00546AF1">
        <w:t>month period (</w:t>
      </w:r>
      <w:proofErr w:type="gramStart"/>
      <w:r w:rsidRPr="00546AF1">
        <w:t>i.e.</w:t>
      </w:r>
      <w:proofErr w:type="gramEnd"/>
      <w:r w:rsidR="00047606">
        <w:t> </w:t>
      </w:r>
      <w:r w:rsidRPr="00546AF1">
        <w:t>1</w:t>
      </w:r>
      <w:r w:rsidR="00047606">
        <w:t> </w:t>
      </w:r>
      <w:r w:rsidRPr="00546AF1">
        <w:t>December 2019 to 30 November 2020). I also request</w:t>
      </w:r>
      <w:r w:rsidR="00DF28E2" w:rsidRPr="00546AF1">
        <w:t>ed</w:t>
      </w:r>
      <w:r w:rsidRPr="00546AF1">
        <w:t xml:space="preserve"> that each chief executive of a department of government forward my request to each public sector entity included within the relevant ministerial portfolio</w:t>
      </w:r>
      <w:r w:rsidR="002F2FA3">
        <w:t>,</w:t>
      </w:r>
      <w:r w:rsidRPr="00546AF1">
        <w:t xml:space="preserve"> to ensure that those public sector entities were also included in this process. </w:t>
      </w:r>
    </w:p>
    <w:p w14:paraId="1D550C5B" w14:textId="77777777" w:rsidR="00D75A0F" w:rsidRPr="00546AF1" w:rsidRDefault="00D75A0F" w:rsidP="00EB6567">
      <w:pPr>
        <w:pStyle w:val="Style1"/>
      </w:pPr>
    </w:p>
    <w:p w14:paraId="62C7BB00" w14:textId="7AA83860" w:rsidR="00D75A0F" w:rsidRPr="00546AF1" w:rsidRDefault="00990BC2" w:rsidP="00EB6567">
      <w:pPr>
        <w:pStyle w:val="Style1"/>
      </w:pPr>
      <w:r>
        <w:t>Further, I requested that, i</w:t>
      </w:r>
      <w:r w:rsidR="00D75A0F" w:rsidRPr="00546AF1">
        <w:t xml:space="preserve">n the event of a discrepancy between the locally held records and the lobbyists register, the discrepancies </w:t>
      </w:r>
      <w:r>
        <w:t xml:space="preserve">be </w:t>
      </w:r>
      <w:r w:rsidR="00D75A0F" w:rsidRPr="00546AF1">
        <w:t xml:space="preserve">reported to my office for assessment. </w:t>
      </w:r>
    </w:p>
    <w:p w14:paraId="235DD4D4" w14:textId="77777777" w:rsidR="00D75A0F" w:rsidRPr="00546AF1" w:rsidRDefault="00D75A0F" w:rsidP="00EB6567">
      <w:pPr>
        <w:pStyle w:val="Style1"/>
      </w:pPr>
    </w:p>
    <w:p w14:paraId="61BA9D15" w14:textId="2A29C102" w:rsidR="00D75A0F" w:rsidRPr="00546AF1" w:rsidRDefault="00D75A0F" w:rsidP="00EB6567">
      <w:pPr>
        <w:pStyle w:val="Style1"/>
      </w:pPr>
      <w:r w:rsidRPr="00546AF1">
        <w:t xml:space="preserve">Although the Act does not permit me to compel any public sector officer to assist me in undertaking the lobbying audit, I was delighted with the overwhelmingly positive and helpful response received in response to my request. In this regard, I am very grateful to all 77 chief executives of local governments, and to the </w:t>
      </w:r>
      <w:r w:rsidR="002F2FA3">
        <w:t>20</w:t>
      </w:r>
      <w:r w:rsidRPr="00546AF1">
        <w:t xml:space="preserve"> chief executive officers of departments of government, who assisted in this important undertaking.</w:t>
      </w:r>
    </w:p>
    <w:p w14:paraId="6C4539EA" w14:textId="232D07ED" w:rsidR="006B3B6A" w:rsidRDefault="006B3B6A" w:rsidP="00EB6567">
      <w:pPr>
        <w:pStyle w:val="Style1"/>
      </w:pPr>
    </w:p>
    <w:p w14:paraId="3AFFBFEF" w14:textId="4758BE35" w:rsidR="00E922A2" w:rsidRPr="00546AF1" w:rsidRDefault="00EF7F2B" w:rsidP="00EB6567">
      <w:pPr>
        <w:pStyle w:val="Style1"/>
      </w:pPr>
      <w:r>
        <w:t>A thematic analysis of the reported discrepancies will be made available on our website</w:t>
      </w:r>
      <w:r w:rsidR="001D7BA1">
        <w:t xml:space="preserve"> shortly. </w:t>
      </w:r>
      <w:r w:rsidR="00AC6B09" w:rsidRPr="00546AF1">
        <w:t xml:space="preserve">It is my intention that </w:t>
      </w:r>
      <w:r w:rsidR="00AC6B09">
        <w:t xml:space="preserve">the </w:t>
      </w:r>
      <w:r w:rsidR="00AC6B09" w:rsidRPr="00546AF1">
        <w:t>lobbying audit will be repeated on an annual basis.</w:t>
      </w:r>
    </w:p>
    <w:p w14:paraId="1195CDAA" w14:textId="77777777" w:rsidR="00E922A2" w:rsidRPr="00546AF1" w:rsidRDefault="00E922A2" w:rsidP="00EB6567">
      <w:pPr>
        <w:pStyle w:val="Style1"/>
      </w:pPr>
    </w:p>
    <w:p w14:paraId="06A3943D" w14:textId="77777777" w:rsidR="00DE307B" w:rsidRPr="00546AF1" w:rsidRDefault="00B81022" w:rsidP="00F41A4B">
      <w:pPr>
        <w:pStyle w:val="Heading4"/>
      </w:pPr>
      <w:r w:rsidRPr="00546AF1">
        <w:t xml:space="preserve">Raising public awareness </w:t>
      </w:r>
      <w:r w:rsidR="00DE307B" w:rsidRPr="00546AF1">
        <w:t>of ethics or integrity issues</w:t>
      </w:r>
    </w:p>
    <w:p w14:paraId="250B85AE" w14:textId="1D538E23" w:rsidR="00A24B8F" w:rsidRPr="00546AF1" w:rsidRDefault="00054A60" w:rsidP="00EB6567">
      <w:pPr>
        <w:pStyle w:val="Style1"/>
      </w:pPr>
      <w:r w:rsidRPr="00546AF1">
        <w:t xml:space="preserve">In relation to fulfilling the public awareness functions of the </w:t>
      </w:r>
      <w:r w:rsidR="00DF28E2" w:rsidRPr="00546AF1">
        <w:t>QIC</w:t>
      </w:r>
      <w:r w:rsidR="00D259B8" w:rsidRPr="00546AF1">
        <w:t xml:space="preserve">, </w:t>
      </w:r>
      <w:r w:rsidRPr="00546AF1">
        <w:t>I continue to be deeply committed to raising public awareness of ethics and integrity issues</w:t>
      </w:r>
      <w:r w:rsidR="00C83991" w:rsidRPr="00546AF1">
        <w:t xml:space="preserve">, as well as raising awareness about </w:t>
      </w:r>
      <w:r w:rsidR="006B3B6A" w:rsidRPr="00546AF1">
        <w:t>issues relating to lobbying.</w:t>
      </w:r>
    </w:p>
    <w:p w14:paraId="11556DA1" w14:textId="77777777" w:rsidR="00A24B8F" w:rsidRPr="00546AF1" w:rsidRDefault="00A24B8F" w:rsidP="00EB6567">
      <w:pPr>
        <w:pStyle w:val="Style1"/>
      </w:pPr>
    </w:p>
    <w:p w14:paraId="7C0AD6C2" w14:textId="7340CDBB" w:rsidR="00844772" w:rsidRPr="00546AF1" w:rsidRDefault="00A24B8F" w:rsidP="00EB6567">
      <w:pPr>
        <w:pStyle w:val="Style1"/>
      </w:pPr>
      <w:r w:rsidRPr="00546AF1">
        <w:t xml:space="preserve">To that end </w:t>
      </w:r>
      <w:r w:rsidR="00620DAA">
        <w:t>I</w:t>
      </w:r>
      <w:r w:rsidRPr="00546AF1">
        <w:t xml:space="preserve"> co-hosted </w:t>
      </w:r>
      <w:r w:rsidR="00A069F0" w:rsidRPr="00546AF1">
        <w:t xml:space="preserve">the </w:t>
      </w:r>
      <w:r w:rsidR="000621AD" w:rsidRPr="00546AF1">
        <w:t xml:space="preserve">inaugural </w:t>
      </w:r>
      <w:r w:rsidR="005F2951" w:rsidRPr="00546AF1">
        <w:t>‘</w:t>
      </w:r>
      <w:r w:rsidR="000621AD" w:rsidRPr="00546AF1">
        <w:t>Integrity Summit</w:t>
      </w:r>
      <w:r w:rsidR="005F2951" w:rsidRPr="00546AF1">
        <w:t>’</w:t>
      </w:r>
      <w:r w:rsidR="000621AD" w:rsidRPr="00546AF1">
        <w:t xml:space="preserve"> together with the Crime and Corruption Commission and the South Australian Independent Commissioner Against Corruption</w:t>
      </w:r>
      <w:r w:rsidR="00C659DF" w:rsidRPr="00546AF1">
        <w:t xml:space="preserve">. </w:t>
      </w:r>
      <w:r w:rsidR="00844772" w:rsidRPr="00546AF1">
        <w:t xml:space="preserve">The theme for the inaugural summit was ‘Lobbying and the public sector’ and was chosen because of the </w:t>
      </w:r>
      <w:proofErr w:type="gramStart"/>
      <w:r w:rsidR="00844772" w:rsidRPr="00546AF1">
        <w:t>particular relevance</w:t>
      </w:r>
      <w:proofErr w:type="gramEnd"/>
      <w:r w:rsidR="00844772" w:rsidRPr="00546AF1">
        <w:t xml:space="preserve"> </w:t>
      </w:r>
      <w:r w:rsidR="009E262C" w:rsidRPr="00546AF1">
        <w:t xml:space="preserve">of lobbying activity </w:t>
      </w:r>
      <w:r w:rsidR="00844772" w:rsidRPr="00546AF1">
        <w:t xml:space="preserve">to all integrity agencies across Australia. </w:t>
      </w:r>
    </w:p>
    <w:p w14:paraId="462E39DF" w14:textId="77777777" w:rsidR="00844772" w:rsidRPr="00546AF1" w:rsidRDefault="00844772" w:rsidP="00EB6567">
      <w:pPr>
        <w:pStyle w:val="Style1"/>
      </w:pPr>
    </w:p>
    <w:p w14:paraId="08768E76" w14:textId="71F3BF45" w:rsidR="00C659DF" w:rsidRPr="00546AF1" w:rsidRDefault="00C659DF" w:rsidP="00EB6567">
      <w:pPr>
        <w:pStyle w:val="Style1"/>
      </w:pPr>
      <w:r w:rsidRPr="00546AF1">
        <w:t xml:space="preserve">Attendees included representatives of more than 20 different agencies across several jurisdictions and the key theme to emerge was that attendees </w:t>
      </w:r>
      <w:r w:rsidR="00163D39" w:rsidRPr="00546AF1">
        <w:t xml:space="preserve">were united in their </w:t>
      </w:r>
      <w:r w:rsidRPr="00546AF1">
        <w:t>view that equal access to decision</w:t>
      </w:r>
      <w:r w:rsidR="00047606">
        <w:noBreakHyphen/>
      </w:r>
      <w:r w:rsidR="005A6D29" w:rsidRPr="00546AF1">
        <w:t>makers</w:t>
      </w:r>
      <w:r w:rsidR="005A6D29">
        <w:t xml:space="preserve"> and</w:t>
      </w:r>
      <w:r w:rsidRPr="00546AF1">
        <w:t xml:space="preserve"> ensuring </w:t>
      </w:r>
      <w:r w:rsidR="00163D39" w:rsidRPr="00546AF1">
        <w:t xml:space="preserve">that </w:t>
      </w:r>
      <w:r w:rsidRPr="00546AF1">
        <w:t xml:space="preserve">decisions </w:t>
      </w:r>
      <w:r w:rsidR="00163D39" w:rsidRPr="00546AF1">
        <w:t xml:space="preserve">made </w:t>
      </w:r>
      <w:r w:rsidRPr="00546AF1">
        <w:t>are free from undue influence are centrally important to good government.</w:t>
      </w:r>
    </w:p>
    <w:p w14:paraId="2F4437EB" w14:textId="77777777" w:rsidR="00C659DF" w:rsidRPr="00546AF1" w:rsidRDefault="00C659DF" w:rsidP="00EB6567">
      <w:pPr>
        <w:pStyle w:val="Style1"/>
      </w:pPr>
    </w:p>
    <w:p w14:paraId="5D4136B0" w14:textId="052E31EB" w:rsidR="00AB0DC5" w:rsidRPr="00546AF1" w:rsidRDefault="00163D39" w:rsidP="00EB6567">
      <w:pPr>
        <w:pStyle w:val="Style1"/>
      </w:pPr>
      <w:r w:rsidRPr="00546AF1">
        <w:t xml:space="preserve">I </w:t>
      </w:r>
      <w:r w:rsidR="00AB0DC5" w:rsidRPr="00546AF1">
        <w:t xml:space="preserve">also co-hosted a ‘Leading </w:t>
      </w:r>
      <w:proofErr w:type="spellStart"/>
      <w:r w:rsidR="00AB0DC5" w:rsidRPr="00546AF1">
        <w:t>Womens</w:t>
      </w:r>
      <w:proofErr w:type="spellEnd"/>
      <w:r w:rsidR="00AB0DC5" w:rsidRPr="00546AF1">
        <w:t xml:space="preserve"> Network’ professional development and networking event with representatives from the Crime and Corruption Commission, the Office of the Inspector-General Emergency Management and Queensland Racing Integrity Commission on 12 May 2021 with the topic, ‘Rise and Define – Retaining your individuality and defining your identity at work’. </w:t>
      </w:r>
    </w:p>
    <w:p w14:paraId="4073A926" w14:textId="77777777" w:rsidR="00764A35" w:rsidRPr="00546AF1" w:rsidRDefault="00764A35" w:rsidP="00EB6567">
      <w:pPr>
        <w:pStyle w:val="Style1"/>
      </w:pPr>
    </w:p>
    <w:p w14:paraId="6721FC9F" w14:textId="714AB1E3" w:rsidR="00C659DF" w:rsidRPr="00546AF1" w:rsidRDefault="00A24B8F" w:rsidP="00EB6567">
      <w:pPr>
        <w:pStyle w:val="Style1"/>
      </w:pPr>
      <w:r w:rsidRPr="00546AF1">
        <w:t xml:space="preserve">As well, </w:t>
      </w:r>
      <w:r w:rsidR="007051C6" w:rsidRPr="00546AF1">
        <w:t xml:space="preserve">in </w:t>
      </w:r>
      <w:r w:rsidR="00F50E8C" w:rsidRPr="00546AF1">
        <w:t xml:space="preserve">May of 2021 </w:t>
      </w:r>
      <w:r w:rsidR="007051C6" w:rsidRPr="00546AF1">
        <w:t xml:space="preserve">the program was finalised </w:t>
      </w:r>
      <w:r w:rsidR="00081B3C" w:rsidRPr="00546AF1">
        <w:t xml:space="preserve">for this year’s </w:t>
      </w:r>
      <w:r w:rsidR="00844772" w:rsidRPr="00546AF1">
        <w:t>‘</w:t>
      </w:r>
      <w:r w:rsidR="00C659DF" w:rsidRPr="00546AF1">
        <w:t>Integrity in Health</w:t>
      </w:r>
      <w:r w:rsidR="00844772" w:rsidRPr="00546AF1">
        <w:t>’</w:t>
      </w:r>
      <w:r w:rsidR="00C659DF" w:rsidRPr="00546AF1">
        <w:t xml:space="preserve"> series</w:t>
      </w:r>
      <w:r w:rsidR="00FC1019" w:rsidRPr="00546AF1">
        <w:t xml:space="preserve"> which typically runs from June through to November</w:t>
      </w:r>
      <w:r w:rsidR="00BC00A1">
        <w:t xml:space="preserve"> each year</w:t>
      </w:r>
      <w:r w:rsidR="00FC1019" w:rsidRPr="00546AF1">
        <w:t xml:space="preserve">. </w:t>
      </w:r>
      <w:r w:rsidR="00C659DF" w:rsidRPr="00546AF1">
        <w:t xml:space="preserve">This year’s topic </w:t>
      </w:r>
      <w:r w:rsidR="00FC1019" w:rsidRPr="00546AF1">
        <w:t>is</w:t>
      </w:r>
      <w:r w:rsidR="00C659DF" w:rsidRPr="00546AF1">
        <w:t xml:space="preserve"> ‘Providing medical care without consent: exploring the ethical and legal issues’ with a focus on the emergency principle as a protection against a claim of trespass when providing care in the emergency setting. The topic was based on a research </w:t>
      </w:r>
      <w:r w:rsidR="00C659DF" w:rsidRPr="00546AF1">
        <w:lastRenderedPageBreak/>
        <w:t xml:space="preserve">paper </w:t>
      </w:r>
      <w:r w:rsidR="00FC1019" w:rsidRPr="00546AF1">
        <w:t xml:space="preserve">I </w:t>
      </w:r>
      <w:r w:rsidR="00C659DF" w:rsidRPr="00546AF1">
        <w:t xml:space="preserve">co-authored </w:t>
      </w:r>
      <w:r w:rsidR="00FC1019" w:rsidRPr="00546AF1">
        <w:t>with</w:t>
      </w:r>
      <w:r w:rsidR="00C659DF" w:rsidRPr="00546AF1">
        <w:t xml:space="preserve"> Dr Sam Boyle of the Queensland University of </w:t>
      </w:r>
      <w:r w:rsidR="006A4FC0" w:rsidRPr="00546AF1">
        <w:t>Technology,</w:t>
      </w:r>
      <w:r w:rsidR="00C659DF" w:rsidRPr="00546AF1">
        <w:t xml:space="preserve"> and </w:t>
      </w:r>
      <w:r w:rsidR="006A4FC0" w:rsidRPr="00546AF1">
        <w:t xml:space="preserve">which was </w:t>
      </w:r>
      <w:r w:rsidR="00C659DF" w:rsidRPr="00546AF1">
        <w:t xml:space="preserve">published in the </w:t>
      </w:r>
      <w:r w:rsidR="00C659DF" w:rsidRPr="00546AF1">
        <w:rPr>
          <w:i/>
          <w:iCs/>
        </w:rPr>
        <w:t>Emergency Medicine Australasia</w:t>
      </w:r>
      <w:r w:rsidR="0054307B" w:rsidRPr="00546AF1">
        <w:rPr>
          <w:i/>
          <w:iCs/>
        </w:rPr>
        <w:t xml:space="preserve"> </w:t>
      </w:r>
      <w:r w:rsidR="00C659DF" w:rsidRPr="00546AF1">
        <w:t xml:space="preserve">journal in April 2021. </w:t>
      </w:r>
    </w:p>
    <w:p w14:paraId="128EA5FC" w14:textId="05826EB2" w:rsidR="000B6000" w:rsidRPr="00546AF1" w:rsidRDefault="000B6000" w:rsidP="00EB6567">
      <w:pPr>
        <w:pStyle w:val="Style1"/>
      </w:pPr>
    </w:p>
    <w:p w14:paraId="77DD5457" w14:textId="5BD3E294" w:rsidR="000B6000" w:rsidRPr="00F65DF1" w:rsidRDefault="00D01CD2" w:rsidP="00F41A4B">
      <w:pPr>
        <w:pStyle w:val="Heading4"/>
      </w:pPr>
      <w:r w:rsidRPr="00F65DF1">
        <w:t>Administration and g</w:t>
      </w:r>
      <w:r w:rsidR="000B6000" w:rsidRPr="00F65DF1">
        <w:t xml:space="preserve">overnance </w:t>
      </w:r>
      <w:r w:rsidR="003E172D" w:rsidRPr="00F65DF1">
        <w:t>arrangements</w:t>
      </w:r>
      <w:r w:rsidR="000B6000" w:rsidRPr="00F65DF1">
        <w:t xml:space="preserve"> </w:t>
      </w:r>
    </w:p>
    <w:p w14:paraId="46229103" w14:textId="5999B8FB" w:rsidR="00CE1C06" w:rsidRDefault="00E272DF" w:rsidP="00EB6567">
      <w:pPr>
        <w:pStyle w:val="Style1"/>
      </w:pPr>
      <w:r w:rsidRPr="00546AF1">
        <w:t>The 2020</w:t>
      </w:r>
      <w:r w:rsidR="00047606">
        <w:noBreakHyphen/>
      </w:r>
      <w:r w:rsidRPr="00546AF1">
        <w:t xml:space="preserve">21 year was particularly challenging in respect of administrative and governance arrangements. </w:t>
      </w:r>
    </w:p>
    <w:p w14:paraId="4425D330" w14:textId="32C3192D" w:rsidR="00E272DF" w:rsidRPr="00546AF1" w:rsidRDefault="00E272DF" w:rsidP="00EB6567">
      <w:pPr>
        <w:pStyle w:val="Style1"/>
      </w:pPr>
      <w:r w:rsidRPr="00546AF1">
        <w:t>At the time of writing</w:t>
      </w:r>
      <w:r w:rsidR="007051C6" w:rsidRPr="00546AF1">
        <w:t xml:space="preserve"> this report</w:t>
      </w:r>
      <w:r w:rsidRPr="00546AF1">
        <w:t>, some of the</w:t>
      </w:r>
      <w:r w:rsidR="007051C6" w:rsidRPr="00546AF1">
        <w:t>se</w:t>
      </w:r>
      <w:r w:rsidRPr="00546AF1">
        <w:t xml:space="preserve"> issues have been raised publicly and it would be remiss of me</w:t>
      </w:r>
      <w:r w:rsidR="00D2750F">
        <w:t xml:space="preserve"> </w:t>
      </w:r>
      <w:r w:rsidRPr="00546AF1">
        <w:t>not to refer</w:t>
      </w:r>
      <w:r w:rsidR="008D54FA">
        <w:t xml:space="preserve"> </w:t>
      </w:r>
      <w:r w:rsidRPr="00546AF1">
        <w:t xml:space="preserve">to </w:t>
      </w:r>
      <w:r w:rsidR="00F4663C">
        <w:t>the governance arrangements</w:t>
      </w:r>
      <w:r w:rsidR="000043F5">
        <w:t xml:space="preserve"> </w:t>
      </w:r>
      <w:r w:rsidR="009628CC">
        <w:t xml:space="preserve">and </w:t>
      </w:r>
      <w:r w:rsidR="00372B0A">
        <w:t xml:space="preserve">issues </w:t>
      </w:r>
      <w:r w:rsidRPr="00546AF1">
        <w:t>in this report</w:t>
      </w:r>
      <w:r w:rsidR="008D54FA">
        <w:t xml:space="preserve">. </w:t>
      </w:r>
    </w:p>
    <w:p w14:paraId="0A0A2552" w14:textId="77777777" w:rsidR="00DB060E" w:rsidRPr="00546AF1" w:rsidRDefault="00DB060E" w:rsidP="00EB6567">
      <w:pPr>
        <w:pStyle w:val="Style1"/>
      </w:pPr>
    </w:p>
    <w:p w14:paraId="7244D59E" w14:textId="54FCF507" w:rsidR="00DB060E" w:rsidRPr="00F65DF1" w:rsidRDefault="003230E5" w:rsidP="00F41A4B">
      <w:pPr>
        <w:pStyle w:val="Heading4"/>
      </w:pPr>
      <w:r w:rsidRPr="00F65DF1">
        <w:t xml:space="preserve">Strategic Review </w:t>
      </w:r>
    </w:p>
    <w:p w14:paraId="1DF182E1" w14:textId="41924150" w:rsidR="00CE1C06" w:rsidRDefault="00CE1C06" w:rsidP="00EB6567">
      <w:pPr>
        <w:pStyle w:val="Style1"/>
      </w:pPr>
      <w:proofErr w:type="gramStart"/>
      <w:r w:rsidRPr="00546AF1">
        <w:t>In light of</w:t>
      </w:r>
      <w:proofErr w:type="gramEnd"/>
      <w:r w:rsidRPr="00546AF1">
        <w:t xml:space="preserve"> the substantial expansion of the functions of the QIC since the Act was introduced, and the heightened level of activity that has occurred during my tenure in the role</w:t>
      </w:r>
      <w:r>
        <w:t>,</w:t>
      </w:r>
      <w:r w:rsidRPr="00546AF1">
        <w:t xml:space="preserve"> it is timely that the </w:t>
      </w:r>
      <w:r w:rsidR="00EA4930">
        <w:t xml:space="preserve">five year </w:t>
      </w:r>
      <w:r w:rsidRPr="00546AF1">
        <w:t xml:space="preserve">‘Strategic Review into the Functions of the Queensland Integrity Commissioner’ fell due this year. </w:t>
      </w:r>
    </w:p>
    <w:p w14:paraId="2CA0BE53" w14:textId="77777777" w:rsidR="00CE1C06" w:rsidRDefault="00CE1C06" w:rsidP="00EB6567">
      <w:pPr>
        <w:pStyle w:val="Style1"/>
      </w:pPr>
    </w:p>
    <w:p w14:paraId="7C66BFAC" w14:textId="76178D52" w:rsidR="00C7620E" w:rsidRPr="00546AF1" w:rsidRDefault="00C7620E" w:rsidP="00EB6567">
      <w:pPr>
        <w:pStyle w:val="Style1"/>
      </w:pPr>
      <w:r w:rsidRPr="00546AF1">
        <w:t xml:space="preserve">Mr Kevin </w:t>
      </w:r>
      <w:proofErr w:type="spellStart"/>
      <w:r w:rsidRPr="00546AF1">
        <w:t>Yearbury</w:t>
      </w:r>
      <w:proofErr w:type="spellEnd"/>
      <w:r w:rsidRPr="00546AF1">
        <w:t xml:space="preserve"> </w:t>
      </w:r>
      <w:r w:rsidR="00EA4930">
        <w:t xml:space="preserve">was </w:t>
      </w:r>
      <w:r w:rsidRPr="00546AF1">
        <w:t>appointed as reviewer</w:t>
      </w:r>
      <w:r w:rsidR="00B0584E">
        <w:t xml:space="preserve"> and at the time of writing the review had not yet concluded. </w:t>
      </w:r>
    </w:p>
    <w:p w14:paraId="0CD41370" w14:textId="77777777" w:rsidR="00C7620E" w:rsidRPr="00546AF1" w:rsidRDefault="00C7620E" w:rsidP="00EB6567">
      <w:pPr>
        <w:pStyle w:val="Style1"/>
      </w:pPr>
    </w:p>
    <w:p w14:paraId="3EFA5D2B" w14:textId="2980A93C" w:rsidR="00C7620E" w:rsidRPr="00546AF1" w:rsidRDefault="00C7620E" w:rsidP="00EB6567">
      <w:pPr>
        <w:pStyle w:val="Style1"/>
      </w:pPr>
      <w:r w:rsidRPr="00546AF1">
        <w:t xml:space="preserve">It was delightful to work with Mr </w:t>
      </w:r>
      <w:proofErr w:type="spellStart"/>
      <w:r w:rsidRPr="00546AF1">
        <w:t>Yearbury</w:t>
      </w:r>
      <w:proofErr w:type="spellEnd"/>
      <w:r w:rsidRPr="00546AF1">
        <w:t xml:space="preserve"> and to be able to reflect on operation of the Act, the role of the </w:t>
      </w:r>
      <w:r w:rsidR="008C27A4" w:rsidRPr="00546AF1">
        <w:t>QIC</w:t>
      </w:r>
      <w:r w:rsidR="00682F08" w:rsidRPr="00546AF1">
        <w:t xml:space="preserve"> </w:t>
      </w:r>
      <w:r w:rsidRPr="00546AF1">
        <w:t>in fulfilling the purposes of the Act</w:t>
      </w:r>
      <w:r w:rsidR="00BF31F6" w:rsidRPr="00546AF1">
        <w:t>,</w:t>
      </w:r>
      <w:r w:rsidRPr="00546AF1">
        <w:t xml:space="preserve"> and the future direction of the office. I look forward to the completion of </w:t>
      </w:r>
      <w:r w:rsidR="006D4DD2" w:rsidRPr="00546AF1">
        <w:t xml:space="preserve">Mr </w:t>
      </w:r>
      <w:proofErr w:type="spellStart"/>
      <w:r w:rsidR="006D4DD2" w:rsidRPr="00546AF1">
        <w:t>Yearbury’s</w:t>
      </w:r>
      <w:proofErr w:type="spellEnd"/>
      <w:r w:rsidR="006D4DD2" w:rsidRPr="00546AF1">
        <w:t xml:space="preserve"> </w:t>
      </w:r>
      <w:r w:rsidRPr="00546AF1">
        <w:t xml:space="preserve">review and discussing </w:t>
      </w:r>
      <w:r w:rsidR="006D4DD2" w:rsidRPr="00546AF1">
        <w:t xml:space="preserve">his </w:t>
      </w:r>
      <w:r w:rsidRPr="00546AF1">
        <w:t xml:space="preserve">findings and recommendations with the Economics and Governance Committee. </w:t>
      </w:r>
    </w:p>
    <w:p w14:paraId="5E48E8A3" w14:textId="28A8D694" w:rsidR="0066209C" w:rsidRPr="00546AF1" w:rsidRDefault="0066209C" w:rsidP="00EB6567">
      <w:pPr>
        <w:pStyle w:val="Style1"/>
      </w:pPr>
    </w:p>
    <w:p w14:paraId="4CF19992" w14:textId="77777777" w:rsidR="00F41A4B" w:rsidRDefault="00F41A4B" w:rsidP="00F41A4B">
      <w:pPr>
        <w:pStyle w:val="Heading4"/>
      </w:pPr>
      <w:r>
        <w:t>Final notes</w:t>
      </w:r>
    </w:p>
    <w:p w14:paraId="78E94FC6" w14:textId="0D81B839" w:rsidR="001C632B" w:rsidRDefault="00CC395F" w:rsidP="00EB6567">
      <w:pPr>
        <w:pStyle w:val="Style1"/>
      </w:pPr>
      <w:r w:rsidRPr="00546AF1">
        <w:t>I</w:t>
      </w:r>
      <w:r w:rsidR="002E4A18" w:rsidRPr="00546AF1">
        <w:t xml:space="preserve">t is with sadness that I acknowledge the passing </w:t>
      </w:r>
      <w:proofErr w:type="gramStart"/>
      <w:r w:rsidR="002E4A18" w:rsidRPr="00546AF1">
        <w:t>of  first</w:t>
      </w:r>
      <w:proofErr w:type="gramEnd"/>
      <w:r w:rsidR="002E4A18" w:rsidRPr="00546AF1">
        <w:t xml:space="preserve"> two </w:t>
      </w:r>
      <w:r w:rsidR="00037972">
        <w:t xml:space="preserve">Queensland </w:t>
      </w:r>
      <w:r w:rsidR="002E4A18" w:rsidRPr="00546AF1">
        <w:t xml:space="preserve">Integrity Commissioners, the Hon. Alan G </w:t>
      </w:r>
      <w:proofErr w:type="spellStart"/>
      <w:r w:rsidR="002E4A18" w:rsidRPr="00546AF1">
        <w:t>Demack</w:t>
      </w:r>
      <w:proofErr w:type="spellEnd"/>
      <w:r w:rsidR="002E4A18" w:rsidRPr="00546AF1">
        <w:t xml:space="preserve"> </w:t>
      </w:r>
      <w:r w:rsidR="00AE2AC6">
        <w:t xml:space="preserve">AO </w:t>
      </w:r>
      <w:r w:rsidR="002E4A18" w:rsidRPr="00546AF1">
        <w:t xml:space="preserve">and </w:t>
      </w:r>
      <w:r w:rsidR="00964C88">
        <w:t xml:space="preserve">Mr </w:t>
      </w:r>
      <w:r w:rsidR="002E4A18" w:rsidRPr="00546AF1">
        <w:t xml:space="preserve">Gary W Crooke AM QC. </w:t>
      </w:r>
    </w:p>
    <w:p w14:paraId="6B6EF19F" w14:textId="77777777" w:rsidR="001C632B" w:rsidRDefault="001C632B" w:rsidP="00EB6567">
      <w:pPr>
        <w:pStyle w:val="Style1"/>
      </w:pPr>
    </w:p>
    <w:p w14:paraId="5B88B670" w14:textId="5ABFD25A" w:rsidR="004D7042" w:rsidRPr="00546AF1" w:rsidRDefault="00430D0B" w:rsidP="00EB6567">
      <w:pPr>
        <w:pStyle w:val="Style1"/>
      </w:pPr>
      <w:r w:rsidRPr="00546AF1">
        <w:t xml:space="preserve">The </w:t>
      </w:r>
      <w:r w:rsidR="00DA3E35" w:rsidRPr="00546AF1">
        <w:t xml:space="preserve">former </w:t>
      </w:r>
      <w:r w:rsidRPr="00546AF1">
        <w:t>commissioner</w:t>
      </w:r>
      <w:r w:rsidR="00DA3E35" w:rsidRPr="00546AF1">
        <w:t>s</w:t>
      </w:r>
      <w:r w:rsidRPr="00546AF1">
        <w:t xml:space="preserve"> each played a vital role in laying the foundations of </w:t>
      </w:r>
      <w:r w:rsidR="00900385" w:rsidRPr="00546AF1">
        <w:t>a strong and thriving</w:t>
      </w:r>
      <w:r w:rsidRPr="00546AF1">
        <w:t xml:space="preserve"> integrity commission</w:t>
      </w:r>
      <w:r w:rsidR="00900385" w:rsidRPr="00546AF1">
        <w:t>,</w:t>
      </w:r>
      <w:r w:rsidR="00DA3E35" w:rsidRPr="00546AF1">
        <w:t xml:space="preserve"> and their individual contributions are deeply valued and acknowledged. </w:t>
      </w:r>
    </w:p>
    <w:p w14:paraId="3B286983" w14:textId="77777777" w:rsidR="003B334F" w:rsidRDefault="003B334F" w:rsidP="00EB6567">
      <w:pPr>
        <w:pStyle w:val="Style1"/>
      </w:pPr>
    </w:p>
    <w:p w14:paraId="59D80B33" w14:textId="4C2107DE" w:rsidR="00CC395F" w:rsidRPr="00546AF1" w:rsidRDefault="00F41A4B" w:rsidP="00EB6567">
      <w:pPr>
        <w:pStyle w:val="Style1"/>
      </w:pPr>
      <w:r>
        <w:t xml:space="preserve">Finally, </w:t>
      </w:r>
      <w:r w:rsidR="00CC395F" w:rsidRPr="00546AF1">
        <w:t xml:space="preserve">I wish to </w:t>
      </w:r>
      <w:r w:rsidR="00EB0B2C" w:rsidRPr="00546AF1">
        <w:t xml:space="preserve">warmly </w:t>
      </w:r>
      <w:r w:rsidR="00CC395F" w:rsidRPr="00546AF1">
        <w:t xml:space="preserve">thank </w:t>
      </w:r>
      <w:r w:rsidR="003B77C3" w:rsidRPr="00546AF1">
        <w:t xml:space="preserve">the </w:t>
      </w:r>
      <w:r w:rsidR="00CC395F" w:rsidRPr="00546AF1">
        <w:t>staff who have supported me</w:t>
      </w:r>
      <w:r w:rsidR="003B77C3" w:rsidRPr="00546AF1">
        <w:t xml:space="preserve"> in the </w:t>
      </w:r>
      <w:r w:rsidR="00D82004">
        <w:t xml:space="preserve">office–both </w:t>
      </w:r>
      <w:r w:rsidR="003B77C3" w:rsidRPr="00546AF1">
        <w:t xml:space="preserve">on a permanent basis, and those who have temporarily </w:t>
      </w:r>
      <w:r w:rsidR="00EB0B2C" w:rsidRPr="00546AF1">
        <w:t xml:space="preserve">assisted. </w:t>
      </w:r>
      <w:r w:rsidR="00691F74" w:rsidRPr="00546AF1">
        <w:t>It continues to be a privilege to serve the people of Queensland</w:t>
      </w:r>
      <w:r w:rsidR="00EB0B2C" w:rsidRPr="00546AF1">
        <w:t xml:space="preserve"> and </w:t>
      </w:r>
      <w:r w:rsidR="00986F2B" w:rsidRPr="00546AF1">
        <w:t xml:space="preserve">the Parliament of Queensland. </w:t>
      </w:r>
      <w:r w:rsidR="00EB0B2C" w:rsidRPr="00546AF1">
        <w:t xml:space="preserve">I am </w:t>
      </w:r>
      <w:r w:rsidR="00986F2B" w:rsidRPr="00546AF1">
        <w:t xml:space="preserve">very </w:t>
      </w:r>
      <w:r w:rsidR="00EB0B2C" w:rsidRPr="00546AF1">
        <w:t>proud of the</w:t>
      </w:r>
      <w:r w:rsidR="008A2117" w:rsidRPr="00546AF1">
        <w:t xml:space="preserve"> achievements made by the integrity </w:t>
      </w:r>
      <w:r w:rsidR="00EB0B2C" w:rsidRPr="00546AF1">
        <w:t>team</w:t>
      </w:r>
      <w:r w:rsidR="00166073" w:rsidRPr="00546AF1">
        <w:t xml:space="preserve">, particularly </w:t>
      </w:r>
      <w:r w:rsidR="00986F2B" w:rsidRPr="00546AF1">
        <w:t xml:space="preserve">in the face of </w:t>
      </w:r>
      <w:r w:rsidR="00166073" w:rsidRPr="00546AF1">
        <w:t xml:space="preserve">the </w:t>
      </w:r>
      <w:r w:rsidR="00986F2B" w:rsidRPr="00546AF1">
        <w:t xml:space="preserve">unique challenges </w:t>
      </w:r>
      <w:r w:rsidR="00166073" w:rsidRPr="00546AF1">
        <w:t xml:space="preserve">that arise due to the nature of the work. </w:t>
      </w:r>
    </w:p>
    <w:p w14:paraId="0ADFC81E" w14:textId="77777777" w:rsidR="00D21372" w:rsidRPr="00546AF1" w:rsidRDefault="00D21372" w:rsidP="00EB6567">
      <w:pPr>
        <w:pStyle w:val="Style1"/>
      </w:pPr>
    </w:p>
    <w:p w14:paraId="0144429F" w14:textId="77777777" w:rsidR="00AE6467" w:rsidRPr="00546AF1" w:rsidRDefault="00AE6467" w:rsidP="00BE4B1E">
      <w:pPr>
        <w:rPr>
          <w:rFonts w:ascii="Times New Roman" w:hAnsi="Times New Roman"/>
          <w:szCs w:val="20"/>
        </w:rPr>
      </w:pPr>
    </w:p>
    <w:p w14:paraId="47537DA6" w14:textId="6D2A035F" w:rsidR="00DB060E" w:rsidRPr="00546AF1" w:rsidRDefault="004C34E8" w:rsidP="00BE4B1E">
      <w:pPr>
        <w:rPr>
          <w:rFonts w:ascii="Times New Roman" w:hAnsi="Times New Roman"/>
          <w:szCs w:val="20"/>
        </w:rPr>
      </w:pPr>
      <w:r w:rsidRPr="00546AF1">
        <w:rPr>
          <w:rFonts w:ascii="Times New Roman" w:hAnsi="Times New Roman"/>
          <w:noProof/>
          <w:szCs w:val="20"/>
        </w:rPr>
        <w:drawing>
          <wp:inline distT="0" distB="0" distL="0" distR="0" wp14:anchorId="7FD04ACB" wp14:editId="3CF12DB2">
            <wp:extent cx="2874645" cy="533286"/>
            <wp:effectExtent l="0" t="0" r="1905" b="635"/>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rotWithShape="1">
                    <a:blip r:embed="rId21">
                      <a:extLst>
                        <a:ext uri="{28A0092B-C50C-407E-A947-70E740481C1C}">
                          <a14:useLocalDpi xmlns:a14="http://schemas.microsoft.com/office/drawing/2010/main" val="0"/>
                        </a:ext>
                      </a:extLst>
                    </a:blip>
                    <a:srcRect t="40850"/>
                    <a:stretch/>
                  </pic:blipFill>
                  <pic:spPr bwMode="auto">
                    <a:xfrm>
                      <a:off x="0" y="0"/>
                      <a:ext cx="2882258" cy="534698"/>
                    </a:xfrm>
                    <a:prstGeom prst="rect">
                      <a:avLst/>
                    </a:prstGeom>
                    <a:ln>
                      <a:noFill/>
                    </a:ln>
                    <a:extLst>
                      <a:ext uri="{53640926-AAD7-44D8-BBD7-CCE9431645EC}">
                        <a14:shadowObscured xmlns:a14="http://schemas.microsoft.com/office/drawing/2010/main"/>
                      </a:ext>
                    </a:extLst>
                  </pic:spPr>
                </pic:pic>
              </a:graphicData>
            </a:graphic>
          </wp:inline>
        </w:drawing>
      </w:r>
    </w:p>
    <w:p w14:paraId="690836D9" w14:textId="7F379016" w:rsidR="00DB060E" w:rsidRPr="00546AF1" w:rsidRDefault="00DB060E" w:rsidP="00BE4B1E">
      <w:pPr>
        <w:rPr>
          <w:rFonts w:ascii="Times New Roman" w:hAnsi="Times New Roman"/>
          <w:szCs w:val="20"/>
        </w:rPr>
      </w:pPr>
      <w:r w:rsidRPr="00546AF1">
        <w:rPr>
          <w:rFonts w:ascii="Times New Roman" w:hAnsi="Times New Roman"/>
          <w:szCs w:val="20"/>
        </w:rPr>
        <w:t xml:space="preserve">Dr Nikola Stepanov </w:t>
      </w:r>
      <w:r w:rsidR="00131B70" w:rsidRPr="00546AF1">
        <w:rPr>
          <w:rFonts w:ascii="Times New Roman" w:hAnsi="Times New Roman"/>
          <w:szCs w:val="20"/>
        </w:rPr>
        <w:t>JD, PhD</w:t>
      </w:r>
    </w:p>
    <w:p w14:paraId="7B2D1219" w14:textId="77777777" w:rsidR="00DB060E" w:rsidRPr="00546AF1" w:rsidRDefault="00DB060E" w:rsidP="00BE4B1E">
      <w:pPr>
        <w:rPr>
          <w:rFonts w:ascii="Times New Roman" w:hAnsi="Times New Roman"/>
          <w:b/>
          <w:bCs/>
          <w:szCs w:val="20"/>
        </w:rPr>
      </w:pPr>
      <w:r w:rsidRPr="00546AF1">
        <w:rPr>
          <w:rFonts w:ascii="Times New Roman" w:hAnsi="Times New Roman"/>
          <w:b/>
          <w:bCs/>
          <w:szCs w:val="20"/>
        </w:rPr>
        <w:t>Queensland Integrity Commissioner</w:t>
      </w:r>
    </w:p>
    <w:p w14:paraId="0B1C3F2C" w14:textId="46A2FD4E" w:rsidR="00C41BA6" w:rsidRPr="00546AF1" w:rsidRDefault="00C41BA6" w:rsidP="00BE4B1E">
      <w:pPr>
        <w:rPr>
          <w:rFonts w:ascii="Times New Roman" w:hAnsi="Times New Roman"/>
          <w:szCs w:val="20"/>
        </w:rPr>
      </w:pPr>
    </w:p>
    <w:p w14:paraId="5AF10F40" w14:textId="150A1733" w:rsidR="000265F4" w:rsidRPr="00546AF1" w:rsidRDefault="000265F4" w:rsidP="00BE4B1E">
      <w:pPr>
        <w:rPr>
          <w:rFonts w:ascii="Times New Roman" w:hAnsi="Times New Roman"/>
        </w:rPr>
      </w:pPr>
      <w:r w:rsidRPr="00546AF1">
        <w:rPr>
          <w:rFonts w:ascii="Times New Roman" w:hAnsi="Times New Roman"/>
        </w:rPr>
        <w:br w:type="page"/>
      </w:r>
    </w:p>
    <w:p w14:paraId="2818985B" w14:textId="352B4276" w:rsidR="000265F4" w:rsidRPr="00546AF1" w:rsidRDefault="004F0005" w:rsidP="007C149C">
      <w:pPr>
        <w:pStyle w:val="Heading2"/>
      </w:pPr>
      <w:bookmarkStart w:id="14" w:name="_Toc83044361"/>
      <w:bookmarkStart w:id="15" w:name="_Toc83822839"/>
      <w:r>
        <w:lastRenderedPageBreak/>
        <w:t xml:space="preserve">4. </w:t>
      </w:r>
      <w:r w:rsidR="000265F4" w:rsidRPr="00546AF1">
        <w:t>About the Queensland Integrity Commissioner</w:t>
      </w:r>
      <w:bookmarkEnd w:id="14"/>
      <w:bookmarkEnd w:id="15"/>
    </w:p>
    <w:p w14:paraId="76CEC660" w14:textId="77777777" w:rsidR="0055206F" w:rsidRPr="002525AD" w:rsidRDefault="0055206F" w:rsidP="002525AD">
      <w:pPr>
        <w:rPr>
          <w:rFonts w:ascii="Times New Roman" w:hAnsi="Times New Roman"/>
        </w:rPr>
      </w:pPr>
    </w:p>
    <w:p w14:paraId="33962032" w14:textId="71F59E82" w:rsidR="00050073" w:rsidRPr="00546AF1" w:rsidRDefault="00050073" w:rsidP="00F41A4B">
      <w:pPr>
        <w:pStyle w:val="Heading4"/>
      </w:pPr>
      <w:bookmarkStart w:id="16" w:name="_Toc83802755"/>
      <w:bookmarkStart w:id="17" w:name="_Toc83822840"/>
      <w:r w:rsidRPr="00546AF1">
        <w:t>Establishment</w:t>
      </w:r>
      <w:bookmarkEnd w:id="16"/>
      <w:bookmarkEnd w:id="17"/>
    </w:p>
    <w:p w14:paraId="215DEF3D" w14:textId="27F0481B" w:rsidR="00050073" w:rsidRPr="00546AF1" w:rsidRDefault="00050073" w:rsidP="00EB6567">
      <w:pPr>
        <w:pStyle w:val="Style1"/>
      </w:pPr>
      <w:r w:rsidRPr="00546AF1">
        <w:t xml:space="preserve">The </w:t>
      </w:r>
      <w:r w:rsidR="008C27A4" w:rsidRPr="00546AF1">
        <w:t>QIC</w:t>
      </w:r>
      <w:r w:rsidR="00D562B4" w:rsidRPr="00546AF1">
        <w:t xml:space="preserve"> </w:t>
      </w:r>
      <w:r w:rsidRPr="00546AF1">
        <w:t>is an independent officer of the Queensland Parliament reporting through the Economics and Governance Committee.</w:t>
      </w:r>
    </w:p>
    <w:p w14:paraId="2BAFBF2B" w14:textId="77777777" w:rsidR="00050073" w:rsidRPr="00546AF1" w:rsidRDefault="00050073" w:rsidP="00EB6567">
      <w:pPr>
        <w:pStyle w:val="Style1"/>
        <w:rPr>
          <w:lang w:val="en-US"/>
        </w:rPr>
      </w:pPr>
    </w:p>
    <w:p w14:paraId="10459D74" w14:textId="2FF8C048" w:rsidR="00050073" w:rsidRPr="00546AF1" w:rsidRDefault="00050073" w:rsidP="00EB6567">
      <w:pPr>
        <w:pStyle w:val="Style1"/>
      </w:pPr>
      <w:r w:rsidRPr="00546AF1">
        <w:t xml:space="preserve">The </w:t>
      </w:r>
      <w:r w:rsidR="008C27A4" w:rsidRPr="00546AF1">
        <w:t>QIC</w:t>
      </w:r>
      <w:r w:rsidR="00D562B4" w:rsidRPr="00546AF1">
        <w:t xml:space="preserve"> </w:t>
      </w:r>
      <w:r w:rsidRPr="00546AF1">
        <w:t xml:space="preserve">was initially established in 1999 under the </w:t>
      </w:r>
      <w:r w:rsidRPr="00546AF1">
        <w:rPr>
          <w:i/>
          <w:iCs/>
        </w:rPr>
        <w:t>Public Sector Ethics Act 1994</w:t>
      </w:r>
      <w:r w:rsidRPr="00546AF1">
        <w:t xml:space="preserve">. </w:t>
      </w:r>
      <w:r w:rsidRPr="00546AF1">
        <w:rPr>
          <w:i/>
          <w:iCs/>
        </w:rPr>
        <w:t>The Integrity Act 2009</w:t>
      </w:r>
      <w:r w:rsidRPr="00546AF1">
        <w:t xml:space="preserve"> </w:t>
      </w:r>
      <w:r w:rsidR="005F4511" w:rsidRPr="00546AF1">
        <w:t>(</w:t>
      </w:r>
      <w:r w:rsidR="009F3E95">
        <w:t xml:space="preserve">the </w:t>
      </w:r>
      <w:r w:rsidR="005F4511" w:rsidRPr="00546AF1">
        <w:t xml:space="preserve">Act) </w:t>
      </w:r>
      <w:r w:rsidRPr="00546AF1">
        <w:t xml:space="preserve">transferred and updated the provisions of the </w:t>
      </w:r>
      <w:r w:rsidRPr="00546AF1">
        <w:rPr>
          <w:i/>
          <w:iCs/>
        </w:rPr>
        <w:t>Public Sector Ethics Act 1994</w:t>
      </w:r>
      <w:r w:rsidRPr="00546AF1">
        <w:t xml:space="preserve"> concerning the </w:t>
      </w:r>
      <w:r w:rsidR="00D82004">
        <w:t>QIC</w:t>
      </w:r>
      <w:r w:rsidRPr="00546AF1">
        <w:t>, with expanded responsibilities.</w:t>
      </w:r>
    </w:p>
    <w:p w14:paraId="59B633E5" w14:textId="77777777" w:rsidR="00050073" w:rsidRPr="00546AF1" w:rsidRDefault="00050073" w:rsidP="00EB6567">
      <w:pPr>
        <w:pStyle w:val="Style1"/>
      </w:pPr>
    </w:p>
    <w:p w14:paraId="3DF1C058" w14:textId="77777777" w:rsidR="00050073" w:rsidRPr="00F41A4B" w:rsidRDefault="00050073" w:rsidP="00F41A4B">
      <w:pPr>
        <w:pStyle w:val="Heading3"/>
      </w:pPr>
      <w:bookmarkStart w:id="18" w:name="_Toc83802756"/>
      <w:bookmarkStart w:id="19" w:name="_Toc83822841"/>
      <w:r w:rsidRPr="00F41A4B">
        <w:t xml:space="preserve">The </w:t>
      </w:r>
      <w:r w:rsidRPr="00710D72">
        <w:rPr>
          <w:i/>
          <w:iCs/>
        </w:rPr>
        <w:t>Integrity Act 2009</w:t>
      </w:r>
      <w:bookmarkEnd w:id="18"/>
      <w:bookmarkEnd w:id="19"/>
    </w:p>
    <w:p w14:paraId="7E6CB5E0" w14:textId="34DBD42E" w:rsidR="00050073" w:rsidRPr="00546AF1" w:rsidRDefault="00050073" w:rsidP="00EB6567">
      <w:pPr>
        <w:pStyle w:val="Style1"/>
      </w:pPr>
      <w:r w:rsidRPr="00546AF1">
        <w:t>The Act provide</w:t>
      </w:r>
      <w:r w:rsidR="005F4511" w:rsidRPr="00546AF1">
        <w:t>s</w:t>
      </w:r>
      <w:r w:rsidRPr="00546AF1">
        <w:t xml:space="preserve"> for a</w:t>
      </w:r>
      <w:r w:rsidR="00D562B4" w:rsidRPr="00546AF1">
        <w:t xml:space="preserve"> Queensland </w:t>
      </w:r>
      <w:r w:rsidR="00D82004" w:rsidRPr="00546AF1">
        <w:t>Integrity Commissioner</w:t>
      </w:r>
      <w:r w:rsidRPr="00546AF1">
        <w:t>:</w:t>
      </w:r>
    </w:p>
    <w:p w14:paraId="2B8A3E46" w14:textId="77777777" w:rsidR="00050073" w:rsidRPr="00546AF1" w:rsidRDefault="00050073" w:rsidP="00EB6567">
      <w:pPr>
        <w:pStyle w:val="Style1"/>
        <w:numPr>
          <w:ilvl w:val="0"/>
          <w:numId w:val="40"/>
        </w:numPr>
      </w:pPr>
      <w:r w:rsidRPr="00546AF1">
        <w:t>to facilitate the giving of advice to Ministers and others on ethics and integrity issues,</w:t>
      </w:r>
    </w:p>
    <w:p w14:paraId="7183CC7B" w14:textId="77777777" w:rsidR="00050073" w:rsidRPr="00546AF1" w:rsidRDefault="00050073" w:rsidP="00EB6567">
      <w:pPr>
        <w:pStyle w:val="Style1"/>
        <w:numPr>
          <w:ilvl w:val="0"/>
          <w:numId w:val="40"/>
        </w:numPr>
      </w:pPr>
      <w:r w:rsidRPr="00546AF1">
        <w:t>to ensure Ministers and others appropriately manage conflicts of interest, and</w:t>
      </w:r>
    </w:p>
    <w:p w14:paraId="68488EB5" w14:textId="0128BB67" w:rsidR="00050073" w:rsidRPr="00546AF1" w:rsidRDefault="00050073" w:rsidP="00EB6567">
      <w:pPr>
        <w:pStyle w:val="Style1"/>
        <w:numPr>
          <w:ilvl w:val="0"/>
          <w:numId w:val="40"/>
        </w:numPr>
      </w:pPr>
      <w:r w:rsidRPr="00546AF1">
        <w:t>to establish a register of lobbyists</w:t>
      </w:r>
      <w:r w:rsidR="00620DAA">
        <w:t>,</w:t>
      </w:r>
      <w:r w:rsidRPr="00546AF1">
        <w:t xml:space="preserve"> and </w:t>
      </w:r>
    </w:p>
    <w:p w14:paraId="429791B1" w14:textId="77777777" w:rsidR="00050073" w:rsidRPr="00546AF1" w:rsidRDefault="00050073" w:rsidP="00EB6567">
      <w:pPr>
        <w:pStyle w:val="Style1"/>
        <w:numPr>
          <w:ilvl w:val="0"/>
          <w:numId w:val="40"/>
        </w:numPr>
      </w:pPr>
      <w:r w:rsidRPr="00546AF1">
        <w:t>provide appropriate limitations on the contact between lobbyists and government representatives and contact between lobbyists and key representatives of the Opposition, including by providing for a code of conduct and prohibiting the payment of success fees.</w:t>
      </w:r>
    </w:p>
    <w:p w14:paraId="4B11B4F3" w14:textId="77777777" w:rsidR="00DB060E" w:rsidRPr="00546AF1" w:rsidRDefault="00DB060E" w:rsidP="00BE4B1E">
      <w:pPr>
        <w:rPr>
          <w:rFonts w:ascii="Times New Roman" w:hAnsi="Times New Roman"/>
        </w:rPr>
      </w:pPr>
    </w:p>
    <w:p w14:paraId="0157A413" w14:textId="3587BF11" w:rsidR="00DB060E" w:rsidRPr="00546AF1" w:rsidRDefault="00DB060E" w:rsidP="00F41A4B">
      <w:pPr>
        <w:pStyle w:val="Heading3"/>
      </w:pPr>
      <w:bookmarkStart w:id="20" w:name="_Toc83044363"/>
      <w:bookmarkStart w:id="21" w:name="_Toc83731225"/>
      <w:bookmarkStart w:id="22" w:name="_Toc83731430"/>
      <w:bookmarkStart w:id="23" w:name="_Toc83802757"/>
      <w:bookmarkStart w:id="24" w:name="_Toc83822842"/>
      <w:r w:rsidRPr="00546AF1">
        <w:t>Vision</w:t>
      </w:r>
      <w:bookmarkEnd w:id="20"/>
      <w:bookmarkEnd w:id="21"/>
      <w:bookmarkEnd w:id="22"/>
      <w:bookmarkEnd w:id="23"/>
      <w:bookmarkEnd w:id="24"/>
    </w:p>
    <w:p w14:paraId="1BA5CEF9" w14:textId="525B46C6" w:rsidR="00E1424F" w:rsidRPr="00546AF1" w:rsidRDefault="00E1424F" w:rsidP="00EB6567">
      <w:pPr>
        <w:pStyle w:val="Style1"/>
      </w:pPr>
      <w:r w:rsidRPr="00546AF1">
        <w:t>Encouraging confidence in public office</w:t>
      </w:r>
      <w:r w:rsidR="00E27BF1">
        <w:t xml:space="preserve"> and </w:t>
      </w:r>
      <w:r w:rsidR="00E27BF1" w:rsidRPr="00546AF1">
        <w:t>public institutions</w:t>
      </w:r>
      <w:r w:rsidRPr="00546AF1">
        <w:t>.</w:t>
      </w:r>
    </w:p>
    <w:p w14:paraId="5C4D5C55" w14:textId="4B237CE4" w:rsidR="00DB060E" w:rsidRPr="00546AF1" w:rsidRDefault="00DB060E" w:rsidP="00BE4B1E">
      <w:pPr>
        <w:widowControl w:val="0"/>
        <w:rPr>
          <w:rFonts w:ascii="Times New Roman" w:hAnsi="Times New Roman"/>
          <w:szCs w:val="22"/>
          <w:lang w:val="en-US"/>
        </w:rPr>
      </w:pPr>
    </w:p>
    <w:p w14:paraId="1EDC14BE" w14:textId="77777777" w:rsidR="00DB060E" w:rsidRPr="00546AF1" w:rsidRDefault="00DB060E" w:rsidP="00F41A4B">
      <w:pPr>
        <w:pStyle w:val="Heading3"/>
      </w:pPr>
      <w:bookmarkStart w:id="25" w:name="_Toc83044364"/>
      <w:bookmarkStart w:id="26" w:name="_Toc83731226"/>
      <w:bookmarkStart w:id="27" w:name="_Toc83731431"/>
      <w:bookmarkStart w:id="28" w:name="_Toc83802758"/>
      <w:bookmarkStart w:id="29" w:name="_Toc83822843"/>
      <w:r w:rsidRPr="00546AF1">
        <w:t>Purpose</w:t>
      </w:r>
      <w:bookmarkEnd w:id="25"/>
      <w:bookmarkEnd w:id="26"/>
      <w:bookmarkEnd w:id="27"/>
      <w:bookmarkEnd w:id="28"/>
      <w:bookmarkEnd w:id="29"/>
    </w:p>
    <w:p w14:paraId="3B78F91D" w14:textId="2F97C4C2" w:rsidR="00315413" w:rsidRPr="00546AF1" w:rsidRDefault="00315413" w:rsidP="00EB6567">
      <w:pPr>
        <w:pStyle w:val="Style1"/>
      </w:pPr>
      <w:r w:rsidRPr="00546AF1">
        <w:t xml:space="preserve">The </w:t>
      </w:r>
      <w:r w:rsidR="008C27A4" w:rsidRPr="00546AF1">
        <w:t>QIC</w:t>
      </w:r>
      <w:r w:rsidR="00D562B4" w:rsidRPr="00546AF1">
        <w:t xml:space="preserve"> </w:t>
      </w:r>
      <w:r w:rsidRPr="00546AF1">
        <w:t xml:space="preserve">has four functions under the </w:t>
      </w:r>
      <w:r w:rsidR="005F4511" w:rsidRPr="00546AF1">
        <w:t>Act:</w:t>
      </w:r>
    </w:p>
    <w:p w14:paraId="2AF99265" w14:textId="570ED30D" w:rsidR="00315413" w:rsidRPr="00546AF1" w:rsidRDefault="002F7A99" w:rsidP="00EB6567">
      <w:pPr>
        <w:pStyle w:val="Style1"/>
        <w:numPr>
          <w:ilvl w:val="0"/>
          <w:numId w:val="25"/>
        </w:numPr>
      </w:pPr>
      <w:r w:rsidRPr="00546AF1">
        <w:t>t</w:t>
      </w:r>
      <w:r w:rsidR="00315413" w:rsidRPr="00546AF1">
        <w:t>o give written advice to current and former designated persons about ethics and integrity issues</w:t>
      </w:r>
    </w:p>
    <w:p w14:paraId="437203C2" w14:textId="42FF4BE1" w:rsidR="00315413" w:rsidRPr="00546AF1" w:rsidRDefault="002F7A99" w:rsidP="00EB6567">
      <w:pPr>
        <w:pStyle w:val="Style1"/>
        <w:numPr>
          <w:ilvl w:val="0"/>
          <w:numId w:val="25"/>
        </w:numPr>
      </w:pPr>
      <w:r w:rsidRPr="00546AF1">
        <w:t>t</w:t>
      </w:r>
      <w:r w:rsidR="00315413" w:rsidRPr="00546AF1">
        <w:t>o meet with and give written or oral advice to Members of the Legislative Assembly about interest issues</w:t>
      </w:r>
    </w:p>
    <w:p w14:paraId="080705DE" w14:textId="01876A22" w:rsidR="00315413" w:rsidRPr="00546AF1" w:rsidRDefault="002F7A99" w:rsidP="00EB6567">
      <w:pPr>
        <w:pStyle w:val="Style1"/>
        <w:numPr>
          <w:ilvl w:val="0"/>
          <w:numId w:val="25"/>
        </w:numPr>
      </w:pPr>
      <w:r w:rsidRPr="00546AF1">
        <w:t>t</w:t>
      </w:r>
      <w:r w:rsidR="00315413" w:rsidRPr="00546AF1">
        <w:t xml:space="preserve">o keep the </w:t>
      </w:r>
      <w:proofErr w:type="gramStart"/>
      <w:r w:rsidR="00315413" w:rsidRPr="00546AF1">
        <w:t>lobbyists</w:t>
      </w:r>
      <w:proofErr w:type="gramEnd"/>
      <w:r w:rsidR="00315413" w:rsidRPr="00546AF1">
        <w:t xml:space="preserve"> register and have responsibility for the registration of lobbyists</w:t>
      </w:r>
      <w:r w:rsidRPr="00546AF1">
        <w:t xml:space="preserve">, and </w:t>
      </w:r>
    </w:p>
    <w:p w14:paraId="1078C7B4" w14:textId="2B9504CD" w:rsidR="00315413" w:rsidRPr="00546AF1" w:rsidRDefault="002F7A99" w:rsidP="00EB6567">
      <w:pPr>
        <w:pStyle w:val="Style1"/>
        <w:numPr>
          <w:ilvl w:val="0"/>
          <w:numId w:val="25"/>
        </w:numPr>
      </w:pPr>
      <w:r w:rsidRPr="00546AF1">
        <w:t>t</w:t>
      </w:r>
      <w:r w:rsidR="00315413" w:rsidRPr="00546AF1">
        <w:t>o raise public awareness of ethics and integrity issues by contributing to public discussion of these issues.</w:t>
      </w:r>
    </w:p>
    <w:p w14:paraId="049204C2" w14:textId="59FBE82E" w:rsidR="00315413" w:rsidRDefault="00315413" w:rsidP="00BE4B1E">
      <w:pPr>
        <w:widowControl w:val="0"/>
        <w:rPr>
          <w:rFonts w:ascii="Times New Roman" w:hAnsi="Times New Roman"/>
          <w:szCs w:val="22"/>
          <w:lang w:val="en-US"/>
        </w:rPr>
      </w:pPr>
    </w:p>
    <w:p w14:paraId="30071BAE" w14:textId="214AA635" w:rsidR="00861874" w:rsidRDefault="00861874" w:rsidP="00861874">
      <w:pPr>
        <w:pStyle w:val="Heading3"/>
        <w:rPr>
          <w:lang w:val="en-US"/>
        </w:rPr>
      </w:pPr>
      <w:r>
        <w:rPr>
          <w:lang w:val="en-US"/>
        </w:rPr>
        <w:t>Values</w:t>
      </w:r>
    </w:p>
    <w:tbl>
      <w:tblPr>
        <w:tblStyle w:val="TableGrid"/>
        <w:tblW w:w="0" w:type="auto"/>
        <w:tblLook w:val="04A0" w:firstRow="1" w:lastRow="0" w:firstColumn="1" w:lastColumn="0" w:noHBand="0" w:noVBand="1"/>
      </w:tblPr>
      <w:tblGrid>
        <w:gridCol w:w="4198"/>
        <w:gridCol w:w="4199"/>
      </w:tblGrid>
      <w:tr w:rsidR="002530E1" w14:paraId="65341FD2" w14:textId="77777777" w:rsidTr="002530E1">
        <w:tc>
          <w:tcPr>
            <w:tcW w:w="4198" w:type="dxa"/>
          </w:tcPr>
          <w:p w14:paraId="102C309B" w14:textId="77777777" w:rsidR="002530E1" w:rsidRPr="00061097" w:rsidRDefault="002530E1" w:rsidP="002530E1">
            <w:pPr>
              <w:pStyle w:val="Style1"/>
              <w:ind w:right="235"/>
              <w:rPr>
                <w:b/>
                <w:bCs/>
              </w:rPr>
            </w:pPr>
            <w:r w:rsidRPr="00061097">
              <w:rPr>
                <w:b/>
                <w:bCs/>
              </w:rPr>
              <w:t>Challenge</w:t>
            </w:r>
          </w:p>
          <w:p w14:paraId="0A516967" w14:textId="77777777" w:rsidR="002530E1" w:rsidRPr="00546AF1" w:rsidRDefault="002530E1" w:rsidP="002530E1">
            <w:pPr>
              <w:pStyle w:val="Style1"/>
              <w:ind w:right="235"/>
            </w:pPr>
            <w:r w:rsidRPr="00546AF1">
              <w:t xml:space="preserve">Value integrity by contributing to research </w:t>
            </w:r>
            <w:proofErr w:type="gramStart"/>
            <w:r w:rsidRPr="00546AF1">
              <w:t>in the area of</w:t>
            </w:r>
            <w:proofErr w:type="gramEnd"/>
            <w:r w:rsidRPr="00546AF1">
              <w:t xml:space="preserve"> integrity. Challenge misconceptions and myths around ethics and integrity.</w:t>
            </w:r>
          </w:p>
          <w:p w14:paraId="1F525D7C" w14:textId="77777777" w:rsidR="002530E1" w:rsidRDefault="002530E1" w:rsidP="002530E1">
            <w:pPr>
              <w:widowControl w:val="0"/>
              <w:rPr>
                <w:rFonts w:ascii="Times New Roman" w:hAnsi="Times New Roman"/>
                <w:szCs w:val="22"/>
                <w:lang w:val="en-US"/>
              </w:rPr>
            </w:pPr>
          </w:p>
        </w:tc>
        <w:tc>
          <w:tcPr>
            <w:tcW w:w="4199" w:type="dxa"/>
          </w:tcPr>
          <w:p w14:paraId="704545A5" w14:textId="77777777" w:rsidR="002530E1" w:rsidRPr="00061097" w:rsidRDefault="002530E1" w:rsidP="002530E1">
            <w:pPr>
              <w:spacing w:line="276" w:lineRule="auto"/>
              <w:ind w:right="173"/>
              <w:rPr>
                <w:rFonts w:ascii="Times New Roman" w:hAnsi="Times New Roman"/>
                <w:b/>
                <w:bCs/>
                <w:szCs w:val="20"/>
              </w:rPr>
            </w:pPr>
            <w:r w:rsidRPr="00061097">
              <w:rPr>
                <w:rFonts w:ascii="Times New Roman" w:hAnsi="Times New Roman"/>
                <w:b/>
                <w:bCs/>
                <w:szCs w:val="20"/>
              </w:rPr>
              <w:t>Lead</w:t>
            </w:r>
          </w:p>
          <w:p w14:paraId="2C8DB1BF" w14:textId="77777777" w:rsidR="002530E1" w:rsidRPr="00546AF1" w:rsidRDefault="002530E1" w:rsidP="002530E1">
            <w:pPr>
              <w:spacing w:line="276" w:lineRule="auto"/>
              <w:ind w:right="173"/>
              <w:rPr>
                <w:rFonts w:ascii="Times New Roman" w:hAnsi="Times New Roman"/>
                <w:szCs w:val="20"/>
              </w:rPr>
            </w:pPr>
            <w:r w:rsidRPr="00546AF1">
              <w:rPr>
                <w:rFonts w:ascii="Times New Roman" w:hAnsi="Times New Roman"/>
                <w:szCs w:val="20"/>
              </w:rPr>
              <w:t>Value integrity by projecting integrity. Show leadership by developing and promoting good practice standards for ethics and integrity.</w:t>
            </w:r>
          </w:p>
          <w:p w14:paraId="35D91CD6" w14:textId="77777777" w:rsidR="002530E1" w:rsidRDefault="002530E1" w:rsidP="002530E1">
            <w:pPr>
              <w:widowControl w:val="0"/>
              <w:rPr>
                <w:rFonts w:ascii="Times New Roman" w:hAnsi="Times New Roman"/>
                <w:szCs w:val="22"/>
                <w:lang w:val="en-US"/>
              </w:rPr>
            </w:pPr>
          </w:p>
        </w:tc>
      </w:tr>
      <w:tr w:rsidR="002530E1" w14:paraId="59378FD0" w14:textId="77777777" w:rsidTr="002530E1">
        <w:tc>
          <w:tcPr>
            <w:tcW w:w="4198" w:type="dxa"/>
          </w:tcPr>
          <w:p w14:paraId="52E8A7F4" w14:textId="77777777" w:rsidR="002530E1" w:rsidRPr="00061097" w:rsidRDefault="002530E1" w:rsidP="002530E1">
            <w:pPr>
              <w:pStyle w:val="Style1"/>
              <w:ind w:right="235"/>
              <w:rPr>
                <w:b/>
                <w:bCs/>
              </w:rPr>
            </w:pPr>
            <w:r w:rsidRPr="00061097">
              <w:rPr>
                <w:b/>
                <w:bCs/>
              </w:rPr>
              <w:t>Engage</w:t>
            </w:r>
          </w:p>
          <w:p w14:paraId="428024FD" w14:textId="77777777" w:rsidR="002530E1" w:rsidRPr="00546AF1" w:rsidRDefault="002530E1" w:rsidP="002530E1">
            <w:pPr>
              <w:pStyle w:val="Style1"/>
              <w:ind w:right="235"/>
            </w:pPr>
            <w:r w:rsidRPr="00546AF1">
              <w:t>Value integrity by promoting integrity.</w:t>
            </w:r>
          </w:p>
          <w:p w14:paraId="4917E696" w14:textId="77777777" w:rsidR="002530E1" w:rsidRPr="00546AF1" w:rsidRDefault="002530E1" w:rsidP="002530E1">
            <w:pPr>
              <w:pStyle w:val="Style1"/>
              <w:ind w:right="235"/>
            </w:pPr>
            <w:r w:rsidRPr="00546AF1">
              <w:t xml:space="preserve">Engage with the public and public officials to raise awareness about ethics and integrity, and the role of the QIC. </w:t>
            </w:r>
          </w:p>
          <w:p w14:paraId="1BB5B294" w14:textId="77777777" w:rsidR="002530E1" w:rsidRDefault="002530E1" w:rsidP="002530E1">
            <w:pPr>
              <w:widowControl w:val="0"/>
              <w:rPr>
                <w:rFonts w:ascii="Times New Roman" w:hAnsi="Times New Roman"/>
                <w:szCs w:val="22"/>
                <w:lang w:val="en-US"/>
              </w:rPr>
            </w:pPr>
          </w:p>
        </w:tc>
        <w:tc>
          <w:tcPr>
            <w:tcW w:w="4199" w:type="dxa"/>
          </w:tcPr>
          <w:p w14:paraId="34F5D8D1" w14:textId="77777777" w:rsidR="002530E1" w:rsidRPr="00061097" w:rsidRDefault="002530E1" w:rsidP="002530E1">
            <w:pPr>
              <w:spacing w:line="276" w:lineRule="auto"/>
              <w:ind w:right="173"/>
              <w:rPr>
                <w:rFonts w:ascii="Times New Roman" w:hAnsi="Times New Roman"/>
                <w:b/>
                <w:bCs/>
                <w:szCs w:val="20"/>
              </w:rPr>
            </w:pPr>
            <w:r w:rsidRPr="00061097">
              <w:rPr>
                <w:rFonts w:ascii="Times New Roman" w:hAnsi="Times New Roman"/>
                <w:b/>
                <w:bCs/>
                <w:szCs w:val="20"/>
              </w:rPr>
              <w:t>Resolve</w:t>
            </w:r>
          </w:p>
          <w:p w14:paraId="568B98F9" w14:textId="77777777" w:rsidR="002530E1" w:rsidRPr="00546AF1" w:rsidRDefault="002530E1" w:rsidP="002530E1">
            <w:pPr>
              <w:spacing w:line="276" w:lineRule="auto"/>
              <w:ind w:right="173"/>
              <w:rPr>
                <w:rFonts w:ascii="Times New Roman" w:hAnsi="Times New Roman"/>
                <w:szCs w:val="20"/>
              </w:rPr>
            </w:pPr>
            <w:r w:rsidRPr="00546AF1">
              <w:rPr>
                <w:rFonts w:ascii="Times New Roman" w:hAnsi="Times New Roman"/>
                <w:szCs w:val="20"/>
              </w:rPr>
              <w:t>Value integrity by embedding integrity. Support and assist designated persons to resolve ethics and integrity issues in the public interest.</w:t>
            </w:r>
          </w:p>
          <w:p w14:paraId="249091D6" w14:textId="77777777" w:rsidR="002530E1" w:rsidRDefault="002530E1" w:rsidP="002530E1">
            <w:pPr>
              <w:widowControl w:val="0"/>
              <w:rPr>
                <w:rFonts w:ascii="Times New Roman" w:hAnsi="Times New Roman"/>
                <w:szCs w:val="22"/>
                <w:lang w:val="en-US"/>
              </w:rPr>
            </w:pPr>
          </w:p>
        </w:tc>
      </w:tr>
    </w:tbl>
    <w:p w14:paraId="1BE5C4B6" w14:textId="58B84352" w:rsidR="00861874" w:rsidRDefault="00861874" w:rsidP="00BE4B1E">
      <w:pPr>
        <w:widowControl w:val="0"/>
        <w:rPr>
          <w:rFonts w:ascii="Times New Roman" w:hAnsi="Times New Roman"/>
          <w:szCs w:val="22"/>
          <w:lang w:val="en-US"/>
        </w:rPr>
      </w:pPr>
    </w:p>
    <w:p w14:paraId="5B983FF8" w14:textId="61427620" w:rsidR="00700318" w:rsidRPr="00546AF1" w:rsidRDefault="00700318" w:rsidP="00F41A4B">
      <w:pPr>
        <w:pStyle w:val="Heading3"/>
      </w:pPr>
      <w:bookmarkStart w:id="30" w:name="_Toc83731228"/>
      <w:bookmarkStart w:id="31" w:name="_Toc83731433"/>
      <w:bookmarkStart w:id="32" w:name="_Toc83802760"/>
      <w:bookmarkStart w:id="33" w:name="_Toc83822845"/>
      <w:r w:rsidRPr="00546AF1">
        <w:t>Strategic Plan 2021</w:t>
      </w:r>
      <w:r w:rsidR="00047606">
        <w:noBreakHyphen/>
      </w:r>
      <w:r w:rsidRPr="00546AF1">
        <w:t>24</w:t>
      </w:r>
      <w:bookmarkEnd w:id="30"/>
      <w:bookmarkEnd w:id="31"/>
      <w:bookmarkEnd w:id="32"/>
      <w:bookmarkEnd w:id="33"/>
    </w:p>
    <w:p w14:paraId="1A1E3CC7" w14:textId="47BEBD0C" w:rsidR="00D4763E" w:rsidRDefault="00C32C8C" w:rsidP="00D4763E">
      <w:pPr>
        <w:pStyle w:val="BlockQuotation"/>
      </w:pPr>
      <w:r w:rsidRPr="00546AF1">
        <w:rPr>
          <w:b w:val="0"/>
          <w:bCs/>
        </w:rPr>
        <w:t>A</w:t>
      </w:r>
      <w:r w:rsidR="00DB060E" w:rsidRPr="00546AF1">
        <w:rPr>
          <w:b w:val="0"/>
          <w:bCs/>
        </w:rPr>
        <w:t xml:space="preserve">ccess the </w:t>
      </w:r>
      <w:r w:rsidR="00D82004">
        <w:rPr>
          <w:b w:val="0"/>
          <w:bCs/>
        </w:rPr>
        <w:t>QIC</w:t>
      </w:r>
      <w:r w:rsidR="00DB060E" w:rsidRPr="00546AF1">
        <w:rPr>
          <w:b w:val="0"/>
          <w:bCs/>
        </w:rPr>
        <w:t>’s strategic plan 2021</w:t>
      </w:r>
      <w:r w:rsidR="00047606">
        <w:rPr>
          <w:b w:val="0"/>
          <w:bCs/>
        </w:rPr>
        <w:noBreakHyphen/>
      </w:r>
      <w:r w:rsidR="00DB060E" w:rsidRPr="00546AF1">
        <w:rPr>
          <w:b w:val="0"/>
          <w:bCs/>
        </w:rPr>
        <w:t>24</w:t>
      </w:r>
      <w:r w:rsidR="00247AD8" w:rsidRPr="00546AF1">
        <w:rPr>
          <w:b w:val="0"/>
          <w:bCs/>
        </w:rPr>
        <w:t xml:space="preserve"> </w:t>
      </w:r>
      <w:r w:rsidR="00DB060E" w:rsidRPr="00546AF1">
        <w:rPr>
          <w:b w:val="0"/>
          <w:bCs/>
        </w:rPr>
        <w:t xml:space="preserve">to learn more about the </w:t>
      </w:r>
      <w:r w:rsidR="00D82004">
        <w:rPr>
          <w:b w:val="0"/>
          <w:bCs/>
        </w:rPr>
        <w:t>QIC</w:t>
      </w:r>
      <w:r w:rsidR="00DB060E" w:rsidRPr="00546AF1">
        <w:rPr>
          <w:b w:val="0"/>
          <w:bCs/>
        </w:rPr>
        <w:t>’s</w:t>
      </w:r>
      <w:r w:rsidR="00700318" w:rsidRPr="00546AF1">
        <w:rPr>
          <w:b w:val="0"/>
          <w:bCs/>
        </w:rPr>
        <w:t xml:space="preserve"> </w:t>
      </w:r>
      <w:r w:rsidR="00DB060E" w:rsidRPr="00546AF1">
        <w:rPr>
          <w:b w:val="0"/>
          <w:bCs/>
        </w:rPr>
        <w:t>role and functions</w:t>
      </w:r>
      <w:r w:rsidR="002004A7" w:rsidRPr="00546AF1">
        <w:rPr>
          <w:b w:val="0"/>
          <w:bCs/>
        </w:rPr>
        <w:t xml:space="preserve">, </w:t>
      </w:r>
      <w:r w:rsidR="00DB060E" w:rsidRPr="00546AF1">
        <w:rPr>
          <w:b w:val="0"/>
          <w:bCs/>
        </w:rPr>
        <w:t xml:space="preserve">vision </w:t>
      </w:r>
      <w:r w:rsidR="00DB060E" w:rsidRPr="00546AF1">
        <w:rPr>
          <w:rFonts w:eastAsiaTheme="minorEastAsia"/>
          <w:b w:val="0"/>
          <w:bCs/>
        </w:rPr>
        <w:t>and purpose</w:t>
      </w:r>
      <w:r w:rsidR="002004A7" w:rsidRPr="00546AF1">
        <w:rPr>
          <w:rFonts w:eastAsiaTheme="minorEastAsia"/>
          <w:b w:val="0"/>
          <w:bCs/>
        </w:rPr>
        <w:t xml:space="preserve">, </w:t>
      </w:r>
      <w:r w:rsidR="00DB060E" w:rsidRPr="00546AF1">
        <w:rPr>
          <w:b w:val="0"/>
          <w:bCs/>
        </w:rPr>
        <w:t>objectives and strategies</w:t>
      </w:r>
      <w:r w:rsidR="002004A7" w:rsidRPr="00546AF1">
        <w:rPr>
          <w:b w:val="0"/>
          <w:bCs/>
        </w:rPr>
        <w:t xml:space="preserve">, </w:t>
      </w:r>
      <w:r w:rsidR="00DB060E" w:rsidRPr="00546AF1">
        <w:rPr>
          <w:b w:val="0"/>
          <w:bCs/>
        </w:rPr>
        <w:t>performance measures</w:t>
      </w:r>
      <w:r w:rsidR="002004A7" w:rsidRPr="00546AF1">
        <w:rPr>
          <w:b w:val="0"/>
          <w:bCs/>
        </w:rPr>
        <w:t xml:space="preserve">, and </w:t>
      </w:r>
      <w:r w:rsidR="00DB060E" w:rsidRPr="00546AF1">
        <w:rPr>
          <w:b w:val="0"/>
          <w:bCs/>
        </w:rPr>
        <w:t>strategic</w:t>
      </w:r>
      <w:r w:rsidRPr="00546AF1">
        <w:rPr>
          <w:b w:val="0"/>
          <w:bCs/>
        </w:rPr>
        <w:t xml:space="preserve"> </w:t>
      </w:r>
      <w:r w:rsidR="00DB060E" w:rsidRPr="00546AF1">
        <w:rPr>
          <w:b w:val="0"/>
          <w:bCs/>
        </w:rPr>
        <w:t>risks and opportunities</w:t>
      </w:r>
      <w:r w:rsidR="00271FEE" w:rsidRPr="00546AF1">
        <w:rPr>
          <w:b w:val="0"/>
          <w:bCs/>
        </w:rPr>
        <w:t xml:space="preserve">: </w:t>
      </w:r>
      <w:hyperlink r:id="rId22" w:history="1">
        <w:r w:rsidR="005A35A3" w:rsidRPr="00546AF1">
          <w:rPr>
            <w:rStyle w:val="Hyperlink"/>
            <w:b w:val="0"/>
            <w:bCs/>
          </w:rPr>
          <w:t>https://www.integrity.qld.gov.au/publications/strategic-plans.aspx</w:t>
        </w:r>
      </w:hyperlink>
      <w:bookmarkStart w:id="34" w:name="_Toc83822846"/>
      <w:r w:rsidR="00D4763E">
        <w:br w:type="page"/>
      </w:r>
    </w:p>
    <w:p w14:paraId="08F6391C" w14:textId="4047B602" w:rsidR="00CF698F" w:rsidRDefault="004F0005" w:rsidP="007C149C">
      <w:pPr>
        <w:pStyle w:val="Heading2"/>
      </w:pPr>
      <w:r>
        <w:lastRenderedPageBreak/>
        <w:t xml:space="preserve">5. </w:t>
      </w:r>
      <w:r w:rsidR="00CF698F" w:rsidRPr="00546AF1">
        <w:t xml:space="preserve">About the current </w:t>
      </w:r>
      <w:r w:rsidR="00EA6296">
        <w:t>C</w:t>
      </w:r>
      <w:r w:rsidR="003D57E6" w:rsidRPr="00546AF1">
        <w:t>ommissioner</w:t>
      </w:r>
      <w:bookmarkEnd w:id="34"/>
      <w:r w:rsidR="003D57E6" w:rsidRPr="00546AF1">
        <w:t xml:space="preserve"> </w:t>
      </w:r>
    </w:p>
    <w:p w14:paraId="50B54703" w14:textId="77777777" w:rsidR="00EA6296" w:rsidRDefault="00EA6296" w:rsidP="00EB6567">
      <w:pPr>
        <w:pStyle w:val="Style1"/>
        <w:rPr>
          <w:lang w:val="en-US" w:eastAsia="en-US"/>
        </w:rPr>
      </w:pPr>
    </w:p>
    <w:p w14:paraId="68F9AC24" w14:textId="59313B1A" w:rsidR="00CF698F" w:rsidRPr="00546AF1" w:rsidRDefault="00CF698F" w:rsidP="00EB6567">
      <w:pPr>
        <w:pStyle w:val="Style1"/>
        <w:rPr>
          <w:lang w:val="en-US" w:eastAsia="en-US"/>
        </w:rPr>
      </w:pPr>
      <w:r w:rsidRPr="00546AF1">
        <w:rPr>
          <w:lang w:val="en-US" w:eastAsia="en-US"/>
        </w:rPr>
        <w:t>Dr Nikola Stepanov is the fifth Queensland Integrity Commissioner, and the first female Commissioner.</w:t>
      </w:r>
    </w:p>
    <w:p w14:paraId="262F1ADE" w14:textId="77777777" w:rsidR="00921F64" w:rsidRDefault="00921F64" w:rsidP="00EB6567">
      <w:pPr>
        <w:pStyle w:val="Style1"/>
        <w:rPr>
          <w:lang w:val="en-US" w:eastAsia="en-US"/>
        </w:rPr>
      </w:pPr>
    </w:p>
    <w:p w14:paraId="4DA595F0" w14:textId="2EF1E2AA" w:rsidR="00CF698F" w:rsidRPr="00546AF1" w:rsidRDefault="007545E1" w:rsidP="00EB6567">
      <w:pPr>
        <w:pStyle w:val="Style1"/>
        <w:rPr>
          <w:lang w:val="en-US" w:eastAsia="en-US"/>
        </w:rPr>
      </w:pPr>
      <w:r>
        <w:rPr>
          <w:lang w:val="en-US" w:eastAsia="en-US"/>
        </w:rPr>
        <w:t xml:space="preserve">Dr Stepanov </w:t>
      </w:r>
      <w:r w:rsidR="00921F64">
        <w:rPr>
          <w:lang w:val="en-US" w:eastAsia="en-US"/>
        </w:rPr>
        <w:t xml:space="preserve">is an </w:t>
      </w:r>
      <w:r w:rsidR="00CF698F" w:rsidRPr="00546AF1">
        <w:rPr>
          <w:lang w:val="en-US" w:eastAsia="en-US"/>
        </w:rPr>
        <w:t>ethicist, mediator, and lawyer. She holds six degrees: a Bachelor of Nursing, a Graduate Diploma of Vocational Education and Training, a Graduate Diploma of Legal Practice, a Master of Education, a Juris Doctor, and a Doctor of Philosophy (</w:t>
      </w:r>
      <w:proofErr w:type="spellStart"/>
      <w:r w:rsidR="00CF698F" w:rsidRPr="00546AF1">
        <w:rPr>
          <w:lang w:val="en-US" w:eastAsia="en-US"/>
        </w:rPr>
        <w:t>Melb</w:t>
      </w:r>
      <w:proofErr w:type="spellEnd"/>
      <w:r w:rsidR="00CF698F" w:rsidRPr="00546AF1">
        <w:rPr>
          <w:lang w:val="en-US" w:eastAsia="en-US"/>
        </w:rPr>
        <w:t xml:space="preserve">.). As well, </w:t>
      </w:r>
      <w:r>
        <w:rPr>
          <w:lang w:val="en-US" w:eastAsia="en-US"/>
        </w:rPr>
        <w:t xml:space="preserve">Dr Stepanov </w:t>
      </w:r>
      <w:r w:rsidR="00CF698F" w:rsidRPr="00546AF1">
        <w:rPr>
          <w:lang w:val="en-US" w:eastAsia="en-US"/>
        </w:rPr>
        <w:t xml:space="preserve">holds numerous certificates </w:t>
      </w:r>
      <w:proofErr w:type="gramStart"/>
      <w:r w:rsidR="00301828" w:rsidRPr="00546AF1">
        <w:rPr>
          <w:lang w:val="en-US" w:eastAsia="en-US"/>
        </w:rPr>
        <w:t>including</w:t>
      </w:r>
      <w:r w:rsidR="00317494">
        <w:rPr>
          <w:lang w:val="en-US" w:eastAsia="en-US"/>
        </w:rPr>
        <w:t>:</w:t>
      </w:r>
      <w:proofErr w:type="gramEnd"/>
      <w:r w:rsidR="00CF698F" w:rsidRPr="00546AF1">
        <w:rPr>
          <w:lang w:val="en-US" w:eastAsia="en-US"/>
        </w:rPr>
        <w:t xml:space="preserve"> Admission as a Legal Practitioner in Queensland, Dispute Resolution (NMAS), Family Dispute Resolution (FDRP), Legal Business Studies, Business Management, Registered Nursing, and various </w:t>
      </w:r>
      <w:proofErr w:type="spellStart"/>
      <w:r w:rsidR="00CF698F" w:rsidRPr="00546AF1">
        <w:rPr>
          <w:lang w:val="en-US" w:eastAsia="en-US"/>
        </w:rPr>
        <w:t>specialised</w:t>
      </w:r>
      <w:proofErr w:type="spellEnd"/>
      <w:r w:rsidR="00CF698F" w:rsidRPr="00546AF1">
        <w:rPr>
          <w:lang w:val="en-US" w:eastAsia="en-US"/>
        </w:rPr>
        <w:t xml:space="preserve"> health service certificates. </w:t>
      </w:r>
    </w:p>
    <w:p w14:paraId="5A473763" w14:textId="4163743C" w:rsidR="00CF698F" w:rsidRPr="00546AF1" w:rsidRDefault="00CF698F" w:rsidP="00EB6567">
      <w:pPr>
        <w:pStyle w:val="Style1"/>
      </w:pPr>
    </w:p>
    <w:p w14:paraId="7E87BB97" w14:textId="77777777" w:rsidR="00FA14C8" w:rsidRPr="00546AF1" w:rsidRDefault="00FA14C8" w:rsidP="00EB6567">
      <w:pPr>
        <w:pStyle w:val="Style1"/>
        <w:rPr>
          <w:lang w:val="en-US" w:eastAsia="en-US"/>
        </w:rPr>
      </w:pPr>
      <w:r w:rsidRPr="00546AF1">
        <w:rPr>
          <w:lang w:val="en-US" w:eastAsia="en-US"/>
        </w:rPr>
        <w:t>Her professional accreditations, professional memberships, and voluntary work, include:</w:t>
      </w:r>
    </w:p>
    <w:p w14:paraId="38349E72" w14:textId="77777777" w:rsidR="00FA14C8" w:rsidRPr="00546AF1" w:rsidRDefault="00FA14C8" w:rsidP="00EB6567">
      <w:pPr>
        <w:pStyle w:val="Style1"/>
        <w:numPr>
          <w:ilvl w:val="0"/>
          <w:numId w:val="39"/>
        </w:numPr>
        <w:rPr>
          <w:lang w:val="en-US" w:eastAsia="en-US"/>
        </w:rPr>
      </w:pPr>
      <w:r w:rsidRPr="00546AF1">
        <w:rPr>
          <w:lang w:val="en-US" w:eastAsia="en-US"/>
        </w:rPr>
        <w:t>Adjunct Professor, Division of Tropical Health and Medicine, James Cook University</w:t>
      </w:r>
    </w:p>
    <w:p w14:paraId="55AF485D" w14:textId="77777777" w:rsidR="00FA14C8" w:rsidRPr="00546AF1" w:rsidRDefault="00FA14C8" w:rsidP="00EB6567">
      <w:pPr>
        <w:pStyle w:val="Style1"/>
        <w:numPr>
          <w:ilvl w:val="0"/>
          <w:numId w:val="39"/>
        </w:numPr>
        <w:rPr>
          <w:lang w:val="en-US" w:eastAsia="en-US"/>
        </w:rPr>
      </w:pPr>
      <w:r w:rsidRPr="00546AF1">
        <w:rPr>
          <w:lang w:val="en-US" w:eastAsia="en-US"/>
        </w:rPr>
        <w:t>Fellow of the Governance Institute of Australia (FGIA)</w:t>
      </w:r>
    </w:p>
    <w:p w14:paraId="40780688" w14:textId="77777777" w:rsidR="00FA14C8" w:rsidRPr="00546AF1" w:rsidRDefault="00FA14C8" w:rsidP="00EB6567">
      <w:pPr>
        <w:pStyle w:val="Style1"/>
        <w:numPr>
          <w:ilvl w:val="0"/>
          <w:numId w:val="39"/>
        </w:numPr>
        <w:rPr>
          <w:lang w:val="en-US" w:eastAsia="en-US"/>
        </w:rPr>
      </w:pPr>
      <w:r w:rsidRPr="00546AF1">
        <w:rPr>
          <w:lang w:val="en-US" w:eastAsia="en-US"/>
        </w:rPr>
        <w:t>President and Board Chair at the Brisbane Youth Service (BYS)</w:t>
      </w:r>
    </w:p>
    <w:p w14:paraId="579F54B7" w14:textId="396871C0" w:rsidR="00FA14C8" w:rsidRPr="00546AF1" w:rsidRDefault="00FA14C8" w:rsidP="00EB6567">
      <w:pPr>
        <w:pStyle w:val="Style1"/>
        <w:numPr>
          <w:ilvl w:val="0"/>
          <w:numId w:val="39"/>
        </w:numPr>
        <w:rPr>
          <w:lang w:val="en-US" w:eastAsia="en-US"/>
        </w:rPr>
      </w:pPr>
      <w:r w:rsidRPr="00546AF1">
        <w:rPr>
          <w:lang w:val="en-US" w:eastAsia="en-US"/>
        </w:rPr>
        <w:t>Governing Board Member, ‘ALIVE’- a landmark National Mental Health Research Centre funded</w:t>
      </w:r>
      <w:r w:rsidR="00620DAA">
        <w:rPr>
          <w:lang w:val="en-US" w:eastAsia="en-US"/>
        </w:rPr>
        <w:t xml:space="preserve"> </w:t>
      </w:r>
      <w:r w:rsidRPr="00546AF1">
        <w:rPr>
          <w:lang w:val="en-US" w:eastAsia="en-US"/>
        </w:rPr>
        <w:t>by the National Health and Medical Research Council</w:t>
      </w:r>
    </w:p>
    <w:p w14:paraId="1681CAFF" w14:textId="77777777" w:rsidR="00FA14C8" w:rsidRPr="00546AF1" w:rsidRDefault="00FA14C8" w:rsidP="00EB6567">
      <w:pPr>
        <w:pStyle w:val="Style1"/>
        <w:numPr>
          <w:ilvl w:val="0"/>
          <w:numId w:val="39"/>
        </w:numPr>
        <w:rPr>
          <w:lang w:val="en-US" w:eastAsia="en-US"/>
        </w:rPr>
      </w:pPr>
      <w:r w:rsidRPr="00546AF1">
        <w:rPr>
          <w:lang w:val="en-US" w:eastAsia="en-US"/>
        </w:rPr>
        <w:t>accreditation as a Mediator under the National Mediator Accreditation System (NMAS)</w:t>
      </w:r>
    </w:p>
    <w:p w14:paraId="0C555C4D" w14:textId="0917AEC7" w:rsidR="00FA14C8" w:rsidRPr="00546AF1" w:rsidRDefault="00FA14C8" w:rsidP="00EB6567">
      <w:pPr>
        <w:pStyle w:val="Style1"/>
        <w:numPr>
          <w:ilvl w:val="0"/>
          <w:numId w:val="39"/>
        </w:numPr>
        <w:rPr>
          <w:lang w:val="en-US" w:eastAsia="en-US"/>
        </w:rPr>
      </w:pPr>
      <w:r w:rsidRPr="00546AF1">
        <w:rPr>
          <w:lang w:val="en-US" w:eastAsia="en-US"/>
        </w:rPr>
        <w:t>Professional Member with the Resolution Institute (PRI)</w:t>
      </w:r>
    </w:p>
    <w:p w14:paraId="41C2AA46" w14:textId="77777777" w:rsidR="00FA14C8" w:rsidRPr="00546AF1" w:rsidRDefault="00FA14C8" w:rsidP="00EB6567">
      <w:pPr>
        <w:pStyle w:val="Style1"/>
        <w:numPr>
          <w:ilvl w:val="0"/>
          <w:numId w:val="39"/>
        </w:numPr>
        <w:rPr>
          <w:lang w:val="en-US" w:eastAsia="en-US"/>
        </w:rPr>
      </w:pPr>
      <w:r w:rsidRPr="00546AF1">
        <w:rPr>
          <w:lang w:val="en-US" w:eastAsia="en-US"/>
        </w:rPr>
        <w:t>Elder Mediator (EMAN)</w:t>
      </w:r>
    </w:p>
    <w:p w14:paraId="640B1106" w14:textId="77777777" w:rsidR="00FA14C8" w:rsidRPr="00546AF1" w:rsidRDefault="00FA14C8" w:rsidP="00EB6567">
      <w:pPr>
        <w:pStyle w:val="Style1"/>
        <w:numPr>
          <w:ilvl w:val="0"/>
          <w:numId w:val="39"/>
        </w:numPr>
        <w:rPr>
          <w:lang w:val="en-US" w:eastAsia="en-US"/>
        </w:rPr>
      </w:pPr>
      <w:r w:rsidRPr="00546AF1">
        <w:rPr>
          <w:lang w:val="en-US" w:eastAsia="en-US"/>
        </w:rPr>
        <w:t>Member, Women Lawyers Association of Queensland (WLAQ)</w:t>
      </w:r>
    </w:p>
    <w:p w14:paraId="17990BF8" w14:textId="77777777" w:rsidR="00FA14C8" w:rsidRPr="00546AF1" w:rsidRDefault="00FA14C8" w:rsidP="00EB6567">
      <w:pPr>
        <w:pStyle w:val="Style1"/>
        <w:numPr>
          <w:ilvl w:val="0"/>
          <w:numId w:val="39"/>
        </w:numPr>
        <w:rPr>
          <w:lang w:val="en-US" w:eastAsia="en-US"/>
        </w:rPr>
      </w:pPr>
      <w:r w:rsidRPr="00546AF1">
        <w:rPr>
          <w:lang w:val="en-US" w:eastAsia="en-US"/>
        </w:rPr>
        <w:t xml:space="preserve">Member, </w:t>
      </w:r>
      <w:proofErr w:type="spellStart"/>
      <w:r w:rsidRPr="00546AF1">
        <w:rPr>
          <w:lang w:val="en-US" w:eastAsia="en-US"/>
        </w:rPr>
        <w:t>Childrens</w:t>
      </w:r>
      <w:proofErr w:type="spellEnd"/>
      <w:r w:rsidRPr="00546AF1">
        <w:rPr>
          <w:lang w:val="en-US" w:eastAsia="en-US"/>
        </w:rPr>
        <w:t xml:space="preserve"> Health Queensland Clinical Ethics Committee (CCHEL)</w:t>
      </w:r>
    </w:p>
    <w:p w14:paraId="656CD513" w14:textId="77777777" w:rsidR="00FA14C8" w:rsidRPr="00546AF1" w:rsidRDefault="00FA14C8" w:rsidP="00EB6567">
      <w:pPr>
        <w:pStyle w:val="Style1"/>
        <w:numPr>
          <w:ilvl w:val="0"/>
          <w:numId w:val="39"/>
        </w:numPr>
        <w:rPr>
          <w:lang w:val="en-US" w:eastAsia="en-US"/>
        </w:rPr>
      </w:pPr>
      <w:r w:rsidRPr="00546AF1">
        <w:rPr>
          <w:lang w:val="en-US" w:eastAsia="en-US"/>
        </w:rPr>
        <w:t>Member Steering Committee, Queensland Health Ethics and Law Network (</w:t>
      </w:r>
      <w:proofErr w:type="spellStart"/>
      <w:r w:rsidRPr="00546AF1">
        <w:rPr>
          <w:lang w:val="en-US" w:eastAsia="en-US"/>
        </w:rPr>
        <w:t>HEaL</w:t>
      </w:r>
      <w:proofErr w:type="spellEnd"/>
      <w:r w:rsidRPr="00546AF1">
        <w:rPr>
          <w:lang w:val="en-US" w:eastAsia="en-US"/>
        </w:rPr>
        <w:t>)</w:t>
      </w:r>
    </w:p>
    <w:p w14:paraId="1B372BA5" w14:textId="76E09B5A" w:rsidR="00FA14C8" w:rsidRPr="00546AF1" w:rsidRDefault="00FA14C8" w:rsidP="00EB6567">
      <w:pPr>
        <w:pStyle w:val="Style1"/>
        <w:numPr>
          <w:ilvl w:val="0"/>
          <w:numId w:val="39"/>
        </w:numPr>
        <w:rPr>
          <w:lang w:val="en-US" w:eastAsia="en-US"/>
        </w:rPr>
      </w:pPr>
      <w:r w:rsidRPr="00546AF1">
        <w:rPr>
          <w:lang w:val="en-US" w:eastAsia="en-US"/>
        </w:rPr>
        <w:t>Associate Member, Medico-legal Society of Queensland (MSLQ), and</w:t>
      </w:r>
    </w:p>
    <w:p w14:paraId="2E922871" w14:textId="0C85EE67" w:rsidR="00FA14C8" w:rsidRPr="00546AF1" w:rsidRDefault="00FA14C8" w:rsidP="00EB6567">
      <w:pPr>
        <w:pStyle w:val="Style1"/>
        <w:numPr>
          <w:ilvl w:val="0"/>
          <w:numId w:val="39"/>
        </w:numPr>
        <w:rPr>
          <w:lang w:val="en-US" w:eastAsia="en-US"/>
        </w:rPr>
      </w:pPr>
      <w:r w:rsidRPr="00546AF1">
        <w:rPr>
          <w:lang w:val="en-US" w:eastAsia="en-US"/>
        </w:rPr>
        <w:t>Member, Corruption Prevention Network Queensland.</w:t>
      </w:r>
    </w:p>
    <w:p w14:paraId="1F6EF3B2" w14:textId="77777777" w:rsidR="00FA14C8" w:rsidRPr="00546AF1" w:rsidRDefault="00FA14C8" w:rsidP="00EB6567">
      <w:pPr>
        <w:pStyle w:val="Style1"/>
      </w:pPr>
    </w:p>
    <w:p w14:paraId="55F1914D" w14:textId="5B954A8E" w:rsidR="00CF698F" w:rsidRPr="00546AF1" w:rsidRDefault="00CF698F" w:rsidP="00EB6567">
      <w:pPr>
        <w:pStyle w:val="Style1"/>
        <w:rPr>
          <w:lang w:val="en-US" w:eastAsia="en-US"/>
        </w:rPr>
      </w:pPr>
      <w:r w:rsidRPr="00546AF1">
        <w:t>Dr Stepanov is highly regarded for her work in governance and regulation</w:t>
      </w:r>
      <w:r w:rsidR="00FC7B47">
        <w:t>;</w:t>
      </w:r>
      <w:r w:rsidRPr="00546AF1">
        <w:t xml:space="preserve"> </w:t>
      </w:r>
      <w:r w:rsidR="00FC7B47">
        <w:t xml:space="preserve">government, </w:t>
      </w:r>
      <w:r w:rsidR="009D1AB7" w:rsidRPr="00546AF1">
        <w:t xml:space="preserve">public </w:t>
      </w:r>
      <w:proofErr w:type="gramStart"/>
      <w:r w:rsidR="009D1AB7" w:rsidRPr="00546AF1">
        <w:t>law</w:t>
      </w:r>
      <w:proofErr w:type="gramEnd"/>
      <w:r w:rsidR="009D1AB7" w:rsidRPr="00546AF1">
        <w:t xml:space="preserve"> and administration</w:t>
      </w:r>
      <w:r w:rsidR="00FC7B47">
        <w:t>;</w:t>
      </w:r>
      <w:r w:rsidR="009D1AB7" w:rsidRPr="00546AF1">
        <w:t xml:space="preserve"> </w:t>
      </w:r>
      <w:r w:rsidRPr="00546AF1">
        <w:t>and human rights and advocacy</w:t>
      </w:r>
      <w:r w:rsidR="00C21F26" w:rsidRPr="00546AF1">
        <w:t xml:space="preserve">. </w:t>
      </w:r>
      <w:r w:rsidR="009D1AB7" w:rsidRPr="00546AF1">
        <w:t xml:space="preserve">She </w:t>
      </w:r>
      <w:r w:rsidRPr="00546AF1">
        <w:rPr>
          <w:lang w:val="en-US" w:eastAsia="en-US"/>
        </w:rPr>
        <w:t xml:space="preserve">has expertise in </w:t>
      </w:r>
      <w:r w:rsidR="000E7440" w:rsidRPr="00546AF1">
        <w:rPr>
          <w:lang w:val="en-US" w:eastAsia="en-US"/>
        </w:rPr>
        <w:t>board governance</w:t>
      </w:r>
      <w:r w:rsidR="00624243">
        <w:rPr>
          <w:lang w:val="en-US" w:eastAsia="en-US"/>
        </w:rPr>
        <w:t xml:space="preserve">; government; </w:t>
      </w:r>
      <w:r w:rsidR="00D77F49" w:rsidRPr="00546AF1">
        <w:rPr>
          <w:lang w:val="en-US" w:eastAsia="en-US"/>
        </w:rPr>
        <w:t xml:space="preserve">administrative </w:t>
      </w:r>
      <w:r w:rsidRPr="00546AF1">
        <w:rPr>
          <w:lang w:val="en-US" w:eastAsia="en-US"/>
        </w:rPr>
        <w:t>decision</w:t>
      </w:r>
      <w:r w:rsidR="00047606">
        <w:rPr>
          <w:lang w:val="en-US" w:eastAsia="en-US"/>
        </w:rPr>
        <w:noBreakHyphen/>
      </w:r>
      <w:r w:rsidRPr="00546AF1">
        <w:rPr>
          <w:lang w:val="en-US" w:eastAsia="en-US"/>
        </w:rPr>
        <w:t>mak</w:t>
      </w:r>
      <w:r w:rsidR="00D77F49" w:rsidRPr="00546AF1">
        <w:rPr>
          <w:lang w:val="en-US" w:eastAsia="en-US"/>
        </w:rPr>
        <w:t xml:space="preserve">ing including </w:t>
      </w:r>
      <w:r w:rsidRPr="00546AF1">
        <w:rPr>
          <w:lang w:val="en-US" w:eastAsia="en-US"/>
        </w:rPr>
        <w:t>conflicts of interest</w:t>
      </w:r>
      <w:r w:rsidR="00D77F49" w:rsidRPr="00546AF1">
        <w:rPr>
          <w:lang w:val="en-US" w:eastAsia="en-US"/>
        </w:rPr>
        <w:t xml:space="preserve"> and </w:t>
      </w:r>
      <w:r w:rsidRPr="00546AF1">
        <w:rPr>
          <w:lang w:val="en-US" w:eastAsia="en-US"/>
        </w:rPr>
        <w:t>duty on duty conflicts</w:t>
      </w:r>
      <w:r w:rsidR="00624243">
        <w:rPr>
          <w:lang w:val="en-US" w:eastAsia="en-US"/>
        </w:rPr>
        <w:t>;</w:t>
      </w:r>
      <w:r w:rsidR="00550B3F" w:rsidRPr="00546AF1">
        <w:rPr>
          <w:lang w:val="en-US" w:eastAsia="en-US"/>
        </w:rPr>
        <w:t xml:space="preserve"> </w:t>
      </w:r>
      <w:r w:rsidR="00FE3680">
        <w:rPr>
          <w:lang w:val="en-US" w:eastAsia="en-US"/>
        </w:rPr>
        <w:t>professional practice standards</w:t>
      </w:r>
      <w:r w:rsidR="00624243">
        <w:rPr>
          <w:lang w:val="en-US" w:eastAsia="en-US"/>
        </w:rPr>
        <w:t xml:space="preserve">; </w:t>
      </w:r>
      <w:r w:rsidRPr="00546AF1">
        <w:rPr>
          <w:lang w:val="en-US" w:eastAsia="en-US"/>
        </w:rPr>
        <w:t xml:space="preserve">and lobbying regulation. </w:t>
      </w:r>
      <w:r w:rsidR="008C6E44" w:rsidRPr="00546AF1">
        <w:t xml:space="preserve">She is particularly well known for her work in medical ethics and law, and advocacy for vulnerable populations. </w:t>
      </w:r>
      <w:r w:rsidR="008C6E44">
        <w:t xml:space="preserve">As well, Dr Stepanov </w:t>
      </w:r>
      <w:r w:rsidRPr="00546AF1">
        <w:rPr>
          <w:lang w:val="en-US" w:eastAsia="en-US"/>
        </w:rPr>
        <w:t>has a strong interest in corruption, complex criminal law</w:t>
      </w:r>
      <w:r w:rsidR="00671DF4">
        <w:rPr>
          <w:lang w:val="en-US" w:eastAsia="en-US"/>
        </w:rPr>
        <w:t xml:space="preserve">, </w:t>
      </w:r>
      <w:r w:rsidR="00FE3680">
        <w:rPr>
          <w:lang w:val="en-US" w:eastAsia="en-US"/>
        </w:rPr>
        <w:t xml:space="preserve">and </w:t>
      </w:r>
      <w:r w:rsidR="00671DF4">
        <w:rPr>
          <w:lang w:val="en-US" w:eastAsia="en-US"/>
        </w:rPr>
        <w:t>space</w:t>
      </w:r>
      <w:r w:rsidR="00FE3680">
        <w:rPr>
          <w:lang w:val="en-US" w:eastAsia="en-US"/>
        </w:rPr>
        <w:t xml:space="preserve"> </w:t>
      </w:r>
      <w:r w:rsidR="00671DF4">
        <w:rPr>
          <w:lang w:val="en-US" w:eastAsia="en-US"/>
        </w:rPr>
        <w:t>law.</w:t>
      </w:r>
    </w:p>
    <w:p w14:paraId="2F6017C8" w14:textId="77777777" w:rsidR="00CF698F" w:rsidRPr="00546AF1" w:rsidRDefault="00CF698F" w:rsidP="00EB6567">
      <w:pPr>
        <w:pStyle w:val="Style1"/>
        <w:rPr>
          <w:lang w:val="en-US" w:eastAsia="en-US"/>
        </w:rPr>
      </w:pPr>
    </w:p>
    <w:p w14:paraId="1E593286" w14:textId="69EBC5D7" w:rsidR="00CF698F" w:rsidRPr="00546AF1" w:rsidRDefault="00CF698F" w:rsidP="00EB6567">
      <w:pPr>
        <w:pStyle w:val="Style1"/>
        <w:rPr>
          <w:lang w:val="en-US" w:eastAsia="en-US"/>
        </w:rPr>
      </w:pPr>
      <w:r w:rsidRPr="00546AF1">
        <w:rPr>
          <w:lang w:val="en-US" w:eastAsia="en-US"/>
        </w:rPr>
        <w:t xml:space="preserve">As QIC, Dr Stepanov is the Chair and Convenor of Queensland’s Integrity Committee, and Co-Patron of the Public Safety and Integrity Agencies Women’s Network. She also sits on </w:t>
      </w:r>
      <w:proofErr w:type="gramStart"/>
      <w:r w:rsidRPr="00546AF1">
        <w:rPr>
          <w:lang w:val="en-US" w:eastAsia="en-US"/>
        </w:rPr>
        <w:t>a number of</w:t>
      </w:r>
      <w:proofErr w:type="gramEnd"/>
      <w:r w:rsidRPr="00546AF1">
        <w:rPr>
          <w:lang w:val="en-US" w:eastAsia="en-US"/>
        </w:rPr>
        <w:t xml:space="preserve"> Government reference committees and groups including the Government Reference Group of the Public Trustee, Public Trustee Fee and Charges Steering Advisory Board, and the Queensland Family and Child Commission’s Strategic Cross-Agency Oversight Group.</w:t>
      </w:r>
    </w:p>
    <w:p w14:paraId="2A25853A" w14:textId="77777777" w:rsidR="00CF698F" w:rsidRPr="00546AF1" w:rsidRDefault="00CF698F" w:rsidP="00EB6567">
      <w:pPr>
        <w:pStyle w:val="Style1"/>
        <w:rPr>
          <w:lang w:val="en-US" w:eastAsia="en-US"/>
        </w:rPr>
      </w:pPr>
    </w:p>
    <w:p w14:paraId="7C74D4F0" w14:textId="1633639A" w:rsidR="00CF698F" w:rsidRPr="00546AF1" w:rsidRDefault="00CF698F" w:rsidP="00EB6567">
      <w:pPr>
        <w:pStyle w:val="Style1"/>
        <w:rPr>
          <w:lang w:val="en-US" w:eastAsia="en-US"/>
        </w:rPr>
      </w:pPr>
      <w:r w:rsidRPr="00546AF1">
        <w:rPr>
          <w:lang w:val="en-US" w:eastAsia="en-US"/>
        </w:rPr>
        <w:t>In her spare time, as well as her voluntary community work, Dr Stepanov continues to supervise PhD and master’s students, and to research and publish on a wide range of matters.</w:t>
      </w:r>
    </w:p>
    <w:p w14:paraId="5C3F35E5" w14:textId="77777777" w:rsidR="00C32C8C" w:rsidRPr="00546AF1" w:rsidRDefault="00C32C8C" w:rsidP="004D05A9">
      <w:pPr>
        <w:pStyle w:val="BlockQuotation"/>
        <w:rPr>
          <w:rStyle w:val="Hyperlink"/>
          <w:b w:val="0"/>
          <w:bCs/>
          <w:color w:val="auto"/>
          <w:u w:val="none"/>
        </w:rPr>
      </w:pPr>
    </w:p>
    <w:p w14:paraId="72C5848E" w14:textId="119E01B4" w:rsidR="00BE4B1E" w:rsidRPr="00546AF1" w:rsidRDefault="000C1163" w:rsidP="004D05A9">
      <w:pPr>
        <w:pStyle w:val="BlockQuotation"/>
        <w:rPr>
          <w:b w:val="0"/>
          <w:bCs/>
        </w:rPr>
      </w:pPr>
      <w:r w:rsidRPr="00546AF1">
        <w:rPr>
          <w:b w:val="0"/>
          <w:bCs/>
        </w:rPr>
        <w:t>Pur</w:t>
      </w:r>
      <w:r w:rsidR="00D129B2" w:rsidRPr="00546AF1">
        <w:rPr>
          <w:b w:val="0"/>
          <w:bCs/>
        </w:rPr>
        <w:t>suant t</w:t>
      </w:r>
      <w:r w:rsidRPr="00546AF1">
        <w:rPr>
          <w:b w:val="0"/>
          <w:bCs/>
        </w:rPr>
        <w:t xml:space="preserve">o </w:t>
      </w:r>
      <w:r w:rsidR="00E9786B" w:rsidRPr="00546AF1">
        <w:rPr>
          <w:b w:val="0"/>
          <w:bCs/>
        </w:rPr>
        <w:t>section 80</w:t>
      </w:r>
      <w:r w:rsidR="00D129B2" w:rsidRPr="00546AF1">
        <w:rPr>
          <w:b w:val="0"/>
          <w:bCs/>
        </w:rPr>
        <w:t xml:space="preserve"> of the </w:t>
      </w:r>
      <w:r w:rsidR="0006361A" w:rsidRPr="00546AF1">
        <w:rPr>
          <w:b w:val="0"/>
          <w:bCs/>
        </w:rPr>
        <w:t>Act</w:t>
      </w:r>
      <w:r w:rsidR="00833A20" w:rsidRPr="00546AF1">
        <w:rPr>
          <w:b w:val="0"/>
          <w:bCs/>
        </w:rPr>
        <w:t xml:space="preserve">, Dr Stepanov has disclosed any and all </w:t>
      </w:r>
      <w:r w:rsidR="00EE73BD" w:rsidRPr="00546AF1">
        <w:rPr>
          <w:b w:val="0"/>
          <w:bCs/>
        </w:rPr>
        <w:t>relevant interests inc</w:t>
      </w:r>
      <w:r w:rsidR="00E74688" w:rsidRPr="00546AF1">
        <w:rPr>
          <w:b w:val="0"/>
          <w:bCs/>
        </w:rPr>
        <w:t>l</w:t>
      </w:r>
      <w:r w:rsidR="00EE73BD" w:rsidRPr="00546AF1">
        <w:rPr>
          <w:b w:val="0"/>
          <w:bCs/>
        </w:rPr>
        <w:t>uding memberships, to the Speaker</w:t>
      </w:r>
      <w:r w:rsidR="00E74688" w:rsidRPr="00546AF1">
        <w:rPr>
          <w:b w:val="0"/>
          <w:bCs/>
        </w:rPr>
        <w:t>, and provided updated information as necessary.</w:t>
      </w:r>
    </w:p>
    <w:p w14:paraId="75BC01E1" w14:textId="455DD7CE" w:rsidR="005634C1" w:rsidRPr="00FB51E1" w:rsidRDefault="00BE4B1E" w:rsidP="00FB51E1">
      <w:pPr>
        <w:pStyle w:val="Heading2"/>
      </w:pPr>
      <w:r w:rsidRPr="00546AF1">
        <w:br w:type="page"/>
      </w:r>
      <w:bookmarkStart w:id="35" w:name="_Toc83822847"/>
      <w:bookmarkStart w:id="36" w:name="_Toc83044366"/>
      <w:r w:rsidR="00EA6296">
        <w:lastRenderedPageBreak/>
        <w:t xml:space="preserve">6. </w:t>
      </w:r>
      <w:r w:rsidR="00236E74">
        <w:t>Activity d</w:t>
      </w:r>
      <w:r w:rsidR="0021426B" w:rsidRPr="00FB51E1">
        <w:t>ashboard</w:t>
      </w:r>
      <w:bookmarkEnd w:id="35"/>
      <w:r w:rsidR="0021426B" w:rsidRPr="00FB51E1">
        <w:t xml:space="preserve"> </w:t>
      </w:r>
      <w:bookmarkEnd w:id="36"/>
    </w:p>
    <w:p w14:paraId="3DCCEF78" w14:textId="77777777" w:rsidR="00620DAA" w:rsidRPr="002525AD" w:rsidRDefault="00620DAA" w:rsidP="00620DAA">
      <w:pPr>
        <w:pStyle w:val="BodyText"/>
        <w:rPr>
          <w:rFonts w:ascii="Times New Roman" w:hAnsi="Times New Roman"/>
        </w:rPr>
      </w:pPr>
    </w:p>
    <w:tbl>
      <w:tblPr>
        <w:tblStyle w:val="TableGrid"/>
        <w:tblW w:w="0" w:type="auto"/>
        <w:tblLook w:val="04A0" w:firstRow="1" w:lastRow="0" w:firstColumn="1" w:lastColumn="0" w:noHBand="0" w:noVBand="1"/>
      </w:tblPr>
      <w:tblGrid>
        <w:gridCol w:w="1043"/>
        <w:gridCol w:w="1014"/>
        <w:gridCol w:w="1040"/>
        <w:gridCol w:w="1015"/>
        <w:gridCol w:w="1044"/>
        <w:gridCol w:w="1015"/>
        <w:gridCol w:w="1211"/>
        <w:gridCol w:w="1015"/>
      </w:tblGrid>
      <w:tr w:rsidR="001E0F66" w:rsidRPr="00546AF1" w14:paraId="17273864" w14:textId="77777777" w:rsidTr="00E8474D">
        <w:tc>
          <w:tcPr>
            <w:tcW w:w="8397" w:type="dxa"/>
            <w:gridSpan w:val="8"/>
          </w:tcPr>
          <w:p w14:paraId="6BF036FF" w14:textId="65DF0A4E" w:rsidR="000D2EAC" w:rsidRDefault="000D2EAC" w:rsidP="004777A9">
            <w:pPr>
              <w:spacing w:after="120"/>
              <w:jc w:val="center"/>
              <w:rPr>
                <w:rFonts w:ascii="Times New Roman" w:hAnsi="Times New Roman"/>
                <w:b/>
                <w:bCs/>
              </w:rPr>
            </w:pPr>
            <w:r w:rsidRPr="00546AF1">
              <w:rPr>
                <w:rFonts w:ascii="Times New Roman" w:hAnsi="Times New Roman"/>
                <w:b/>
                <w:bCs/>
              </w:rPr>
              <w:t xml:space="preserve">Ethics, integrity, and </w:t>
            </w:r>
            <w:r w:rsidR="00721D97" w:rsidRPr="00546AF1">
              <w:rPr>
                <w:rFonts w:ascii="Times New Roman" w:hAnsi="Times New Roman"/>
                <w:b/>
                <w:bCs/>
              </w:rPr>
              <w:t>interest</w:t>
            </w:r>
            <w:r w:rsidRPr="00546AF1">
              <w:rPr>
                <w:rFonts w:ascii="Times New Roman" w:hAnsi="Times New Roman"/>
                <w:b/>
                <w:bCs/>
              </w:rPr>
              <w:t xml:space="preserve"> </w:t>
            </w:r>
            <w:r w:rsidR="004777A9">
              <w:rPr>
                <w:rFonts w:ascii="Times New Roman" w:hAnsi="Times New Roman"/>
                <w:b/>
                <w:bCs/>
              </w:rPr>
              <w:t xml:space="preserve">advice </w:t>
            </w:r>
          </w:p>
          <w:p w14:paraId="23919BB5" w14:textId="52ED6F63" w:rsidR="004777A9" w:rsidRDefault="00710D72" w:rsidP="004777A9">
            <w:pPr>
              <w:spacing w:after="120"/>
              <w:jc w:val="center"/>
              <w:rPr>
                <w:rFonts w:ascii="Times New Roman" w:hAnsi="Times New Roman"/>
                <w:b/>
                <w:bCs/>
              </w:rPr>
            </w:pPr>
            <w:r w:rsidRPr="00546AF1">
              <w:rPr>
                <w:rFonts w:ascii="Times New Roman" w:hAnsi="Times New Roman"/>
                <w:noProof/>
              </w:rPr>
              <w:drawing>
                <wp:anchor distT="0" distB="0" distL="114300" distR="114300" simplePos="0" relativeHeight="251659264" behindDoc="0" locked="0" layoutInCell="1" allowOverlap="1" wp14:anchorId="666FDC79" wp14:editId="53C0D1FE">
                  <wp:simplePos x="0" y="0"/>
                  <wp:positionH relativeFrom="column">
                    <wp:posOffset>66675</wp:posOffset>
                  </wp:positionH>
                  <wp:positionV relativeFrom="paragraph">
                    <wp:posOffset>222250</wp:posOffset>
                  </wp:positionV>
                  <wp:extent cx="464820" cy="464820"/>
                  <wp:effectExtent l="0" t="0" r="0" b="0"/>
                  <wp:wrapSquare wrapText="bothSides"/>
                  <wp:docPr id="6" name="Graphic 6"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Questions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p>
          <w:p w14:paraId="7707FBEB" w14:textId="7ECE7F0F" w:rsidR="004777A9" w:rsidRDefault="002E383E" w:rsidP="004777A9">
            <w:pPr>
              <w:spacing w:after="120"/>
              <w:jc w:val="center"/>
              <w:rPr>
                <w:rFonts w:ascii="Times New Roman" w:hAnsi="Times New Roman"/>
                <w:szCs w:val="20"/>
              </w:rPr>
            </w:pPr>
            <w:r w:rsidRPr="00F8212A">
              <w:rPr>
                <w:rFonts w:ascii="Times New Roman" w:hAnsi="Times New Roman"/>
                <w:szCs w:val="20"/>
              </w:rPr>
              <w:t xml:space="preserve">Who can seek advice? </w:t>
            </w:r>
            <w:r w:rsidR="004777A9" w:rsidRPr="00F8212A">
              <w:rPr>
                <w:rFonts w:ascii="Times New Roman" w:hAnsi="Times New Roman"/>
                <w:szCs w:val="20"/>
              </w:rPr>
              <w:t xml:space="preserve">More than 10,000 </w:t>
            </w:r>
            <w:r w:rsidRPr="00F8212A">
              <w:rPr>
                <w:rFonts w:ascii="Times New Roman" w:hAnsi="Times New Roman"/>
                <w:szCs w:val="20"/>
              </w:rPr>
              <w:t>persons are ‘</w:t>
            </w:r>
            <w:r w:rsidR="004777A9" w:rsidRPr="00F8212A">
              <w:rPr>
                <w:rFonts w:ascii="Times New Roman" w:hAnsi="Times New Roman"/>
                <w:szCs w:val="20"/>
              </w:rPr>
              <w:t>designated persons</w:t>
            </w:r>
            <w:r w:rsidRPr="00F8212A">
              <w:rPr>
                <w:rFonts w:ascii="Times New Roman" w:hAnsi="Times New Roman"/>
                <w:szCs w:val="20"/>
              </w:rPr>
              <w:t>’</w:t>
            </w:r>
            <w:r w:rsidR="004777A9" w:rsidRPr="00F8212A">
              <w:rPr>
                <w:rFonts w:ascii="Times New Roman" w:hAnsi="Times New Roman"/>
                <w:szCs w:val="20"/>
              </w:rPr>
              <w:t xml:space="preserve"> </w:t>
            </w:r>
            <w:r w:rsidRPr="00F8212A">
              <w:rPr>
                <w:rFonts w:ascii="Times New Roman" w:hAnsi="Times New Roman"/>
                <w:szCs w:val="20"/>
              </w:rPr>
              <w:t xml:space="preserve">and are therefore able </w:t>
            </w:r>
            <w:r w:rsidR="004777A9" w:rsidRPr="00F8212A">
              <w:rPr>
                <w:rFonts w:ascii="Times New Roman" w:hAnsi="Times New Roman"/>
                <w:szCs w:val="20"/>
              </w:rPr>
              <w:t>to seek advice from the Integrity Commissioner</w:t>
            </w:r>
          </w:p>
          <w:p w14:paraId="4F4C0BDB" w14:textId="77777777" w:rsidR="003F2D6B" w:rsidRPr="00F8212A" w:rsidRDefault="003F2D6B" w:rsidP="004777A9">
            <w:pPr>
              <w:spacing w:after="120"/>
              <w:jc w:val="center"/>
              <w:rPr>
                <w:rFonts w:ascii="Times New Roman" w:hAnsi="Times New Roman"/>
                <w:noProof/>
              </w:rPr>
            </w:pPr>
          </w:p>
          <w:p w14:paraId="572A91C6" w14:textId="721D5FC7" w:rsidR="00A61DEB" w:rsidRPr="00546AF1" w:rsidRDefault="00A61DEB" w:rsidP="004777A9">
            <w:pPr>
              <w:spacing w:after="120"/>
              <w:jc w:val="center"/>
              <w:rPr>
                <w:rFonts w:ascii="Times New Roman" w:hAnsi="Times New Roman"/>
                <w:b/>
                <w:bCs/>
              </w:rPr>
            </w:pPr>
          </w:p>
        </w:tc>
      </w:tr>
      <w:tr w:rsidR="001E0F66" w:rsidRPr="00546AF1" w14:paraId="35566901" w14:textId="77777777" w:rsidTr="001E0F66">
        <w:tc>
          <w:tcPr>
            <w:tcW w:w="1043" w:type="dxa"/>
            <w:vAlign w:val="center"/>
          </w:tcPr>
          <w:p w14:paraId="56AB178A" w14:textId="17E16BC5" w:rsidR="000D2EAC" w:rsidRPr="00546AF1" w:rsidRDefault="000D2EAC" w:rsidP="000D2EAC">
            <w:pPr>
              <w:jc w:val="center"/>
              <w:rPr>
                <w:rFonts w:ascii="Times New Roman" w:hAnsi="Times New Roman"/>
              </w:rPr>
            </w:pPr>
            <w:r w:rsidRPr="00546AF1">
              <w:rPr>
                <w:rFonts w:ascii="Times New Roman" w:hAnsi="Times New Roman"/>
                <w:noProof/>
                <w:position w:val="-31"/>
              </w:rPr>
              <w:drawing>
                <wp:inline distT="0" distB="0" distL="0" distR="0" wp14:anchorId="3829E4ED" wp14:editId="75525FF2">
                  <wp:extent cx="459905" cy="504000"/>
                  <wp:effectExtent l="0" t="0" r="0" b="0"/>
                  <wp:docPr id="15" name="image17.png"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25" cstate="print">
                            <a:biLevel thresh="75000"/>
                          </a:blip>
                          <a:stretch>
                            <a:fillRect/>
                          </a:stretch>
                        </pic:blipFill>
                        <pic:spPr>
                          <a:xfrm>
                            <a:off x="0" y="0"/>
                            <a:ext cx="459905" cy="504000"/>
                          </a:xfrm>
                          <a:prstGeom prst="rect">
                            <a:avLst/>
                          </a:prstGeom>
                        </pic:spPr>
                      </pic:pic>
                    </a:graphicData>
                  </a:graphic>
                </wp:inline>
              </w:drawing>
            </w:r>
          </w:p>
        </w:tc>
        <w:tc>
          <w:tcPr>
            <w:tcW w:w="1014" w:type="dxa"/>
            <w:vAlign w:val="center"/>
          </w:tcPr>
          <w:p w14:paraId="7CB2E059" w14:textId="555CEE96" w:rsidR="000D2EAC" w:rsidRPr="00546AF1" w:rsidRDefault="008070C5" w:rsidP="001E0F66">
            <w:pPr>
              <w:jc w:val="left"/>
              <w:rPr>
                <w:rFonts w:ascii="Times New Roman" w:hAnsi="Times New Roman"/>
                <w:b/>
                <w:bCs/>
              </w:rPr>
            </w:pPr>
            <w:r w:rsidRPr="00546AF1">
              <w:rPr>
                <w:rFonts w:ascii="Times New Roman" w:hAnsi="Times New Roman"/>
                <w:b/>
                <w:bCs/>
                <w:sz w:val="52"/>
                <w:szCs w:val="72"/>
              </w:rPr>
              <w:t>233</w:t>
            </w:r>
          </w:p>
        </w:tc>
        <w:tc>
          <w:tcPr>
            <w:tcW w:w="1040" w:type="dxa"/>
            <w:vAlign w:val="center"/>
          </w:tcPr>
          <w:p w14:paraId="7555A0A7" w14:textId="02F46D04" w:rsidR="000D2EAC" w:rsidRPr="00546AF1" w:rsidRDefault="000D2EAC" w:rsidP="000D2EAC">
            <w:pPr>
              <w:jc w:val="center"/>
              <w:rPr>
                <w:rFonts w:ascii="Times New Roman" w:hAnsi="Times New Roman"/>
              </w:rPr>
            </w:pPr>
            <w:r w:rsidRPr="00546AF1">
              <w:rPr>
                <w:rFonts w:ascii="Times New Roman" w:hAnsi="Times New Roman"/>
                <w:noProof/>
                <w:position w:val="-31"/>
              </w:rPr>
              <w:drawing>
                <wp:inline distT="0" distB="0" distL="0" distR="0" wp14:anchorId="2B721EF9" wp14:editId="3E58C7F8">
                  <wp:extent cx="392320" cy="504000"/>
                  <wp:effectExtent l="0" t="0" r="8255" b="0"/>
                  <wp:docPr id="17" name="image18.png"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6" cstate="print">
                            <a:biLevel thresh="75000"/>
                            <a:extLst>
                              <a:ext uri="{BEBA8EAE-BF5A-486C-A8C5-ECC9F3942E4B}">
                                <a14:imgProps xmlns:a14="http://schemas.microsoft.com/office/drawing/2010/main">
                                  <a14:imgLayer r:embed="rId27">
                                    <a14:imgEffect>
                                      <a14:saturation sat="0"/>
                                    </a14:imgEffect>
                                  </a14:imgLayer>
                                </a14:imgProps>
                              </a:ext>
                            </a:extLst>
                          </a:blip>
                          <a:stretch>
                            <a:fillRect/>
                          </a:stretch>
                        </pic:blipFill>
                        <pic:spPr>
                          <a:xfrm>
                            <a:off x="0" y="0"/>
                            <a:ext cx="392320" cy="504000"/>
                          </a:xfrm>
                          <a:prstGeom prst="rect">
                            <a:avLst/>
                          </a:prstGeom>
                        </pic:spPr>
                      </pic:pic>
                    </a:graphicData>
                  </a:graphic>
                </wp:inline>
              </w:drawing>
            </w:r>
          </w:p>
        </w:tc>
        <w:tc>
          <w:tcPr>
            <w:tcW w:w="1015" w:type="dxa"/>
            <w:vAlign w:val="center"/>
          </w:tcPr>
          <w:p w14:paraId="71011D47" w14:textId="583C350A" w:rsidR="000D2EAC" w:rsidRPr="00546AF1" w:rsidRDefault="008070C5" w:rsidP="001E0F66">
            <w:pPr>
              <w:jc w:val="left"/>
              <w:rPr>
                <w:rFonts w:ascii="Times New Roman" w:hAnsi="Times New Roman"/>
              </w:rPr>
            </w:pPr>
            <w:r w:rsidRPr="00546AF1">
              <w:rPr>
                <w:rFonts w:ascii="Times New Roman" w:hAnsi="Times New Roman"/>
                <w:b/>
                <w:bCs/>
                <w:sz w:val="52"/>
                <w:szCs w:val="72"/>
              </w:rPr>
              <w:t>129</w:t>
            </w:r>
          </w:p>
        </w:tc>
        <w:tc>
          <w:tcPr>
            <w:tcW w:w="1044" w:type="dxa"/>
            <w:vAlign w:val="center"/>
          </w:tcPr>
          <w:p w14:paraId="52CD1B50" w14:textId="04E30CC7" w:rsidR="000D2EAC" w:rsidRPr="00546AF1" w:rsidRDefault="000D2EAC" w:rsidP="000D2EAC">
            <w:pPr>
              <w:jc w:val="center"/>
              <w:rPr>
                <w:rFonts w:ascii="Times New Roman" w:hAnsi="Times New Roman"/>
              </w:rPr>
            </w:pPr>
            <w:r w:rsidRPr="00546AF1">
              <w:rPr>
                <w:rFonts w:ascii="Times New Roman" w:hAnsi="Times New Roman"/>
                <w:noProof/>
                <w:position w:val="-32"/>
              </w:rPr>
              <w:drawing>
                <wp:inline distT="0" distB="0" distL="0" distR="0" wp14:anchorId="3161F3D7" wp14:editId="6EFC5D9E">
                  <wp:extent cx="442032" cy="504000"/>
                  <wp:effectExtent l="0" t="0" r="0" b="0"/>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8" cstate="print">
                            <a:biLevel thresh="75000"/>
                          </a:blip>
                          <a:stretch>
                            <a:fillRect/>
                          </a:stretch>
                        </pic:blipFill>
                        <pic:spPr>
                          <a:xfrm>
                            <a:off x="0" y="0"/>
                            <a:ext cx="442032" cy="504000"/>
                          </a:xfrm>
                          <a:prstGeom prst="rect">
                            <a:avLst/>
                          </a:prstGeom>
                        </pic:spPr>
                      </pic:pic>
                    </a:graphicData>
                  </a:graphic>
                </wp:inline>
              </w:drawing>
            </w:r>
          </w:p>
        </w:tc>
        <w:tc>
          <w:tcPr>
            <w:tcW w:w="1015" w:type="dxa"/>
            <w:vAlign w:val="center"/>
          </w:tcPr>
          <w:p w14:paraId="219DA2E8" w14:textId="50883632" w:rsidR="000D2EAC" w:rsidRPr="00546AF1" w:rsidRDefault="008070C5" w:rsidP="001E0F66">
            <w:pPr>
              <w:jc w:val="left"/>
              <w:rPr>
                <w:rFonts w:ascii="Times New Roman" w:hAnsi="Times New Roman"/>
              </w:rPr>
            </w:pPr>
            <w:r w:rsidRPr="00546AF1">
              <w:rPr>
                <w:rFonts w:ascii="Times New Roman" w:hAnsi="Times New Roman"/>
                <w:b/>
                <w:bCs/>
                <w:sz w:val="52"/>
                <w:szCs w:val="72"/>
              </w:rPr>
              <w:t>53</w:t>
            </w:r>
          </w:p>
        </w:tc>
        <w:tc>
          <w:tcPr>
            <w:tcW w:w="1211" w:type="dxa"/>
            <w:vAlign w:val="center"/>
          </w:tcPr>
          <w:p w14:paraId="377F65C4" w14:textId="26E62F58" w:rsidR="000D2EAC" w:rsidRPr="00546AF1" w:rsidRDefault="000D2EAC" w:rsidP="000D2EAC">
            <w:pPr>
              <w:jc w:val="center"/>
              <w:rPr>
                <w:rFonts w:ascii="Times New Roman" w:hAnsi="Times New Roman"/>
              </w:rPr>
            </w:pPr>
            <w:r w:rsidRPr="00546AF1">
              <w:rPr>
                <w:rFonts w:ascii="Times New Roman" w:hAnsi="Times New Roman"/>
                <w:noProof/>
                <w:position w:val="-10"/>
              </w:rPr>
              <w:drawing>
                <wp:inline distT="0" distB="0" distL="0" distR="0" wp14:anchorId="6B8077BA" wp14:editId="62A05F25">
                  <wp:extent cx="632196" cy="432000"/>
                  <wp:effectExtent l="0" t="0" r="0" b="6350"/>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29" cstate="print">
                            <a:biLevel thresh="75000"/>
                          </a:blip>
                          <a:stretch>
                            <a:fillRect/>
                          </a:stretch>
                        </pic:blipFill>
                        <pic:spPr>
                          <a:xfrm>
                            <a:off x="0" y="0"/>
                            <a:ext cx="632196" cy="432000"/>
                          </a:xfrm>
                          <a:prstGeom prst="rect">
                            <a:avLst/>
                          </a:prstGeom>
                        </pic:spPr>
                      </pic:pic>
                    </a:graphicData>
                  </a:graphic>
                </wp:inline>
              </w:drawing>
            </w:r>
          </w:p>
        </w:tc>
        <w:tc>
          <w:tcPr>
            <w:tcW w:w="1015" w:type="dxa"/>
            <w:vAlign w:val="center"/>
          </w:tcPr>
          <w:p w14:paraId="2D6FCE9F" w14:textId="2EC532CD" w:rsidR="000D2EAC" w:rsidRPr="00546AF1" w:rsidRDefault="008070C5" w:rsidP="001E0F66">
            <w:pPr>
              <w:jc w:val="left"/>
              <w:rPr>
                <w:rFonts w:ascii="Times New Roman" w:hAnsi="Times New Roman"/>
              </w:rPr>
            </w:pPr>
            <w:r w:rsidRPr="00546AF1">
              <w:rPr>
                <w:rFonts w:ascii="Times New Roman" w:hAnsi="Times New Roman"/>
                <w:b/>
                <w:bCs/>
                <w:sz w:val="52"/>
                <w:szCs w:val="72"/>
              </w:rPr>
              <w:t>36</w:t>
            </w:r>
          </w:p>
        </w:tc>
      </w:tr>
      <w:tr w:rsidR="001E0F66" w:rsidRPr="00546AF1" w14:paraId="74643431" w14:textId="77777777" w:rsidTr="007311F1">
        <w:tc>
          <w:tcPr>
            <w:tcW w:w="2057" w:type="dxa"/>
            <w:gridSpan w:val="2"/>
          </w:tcPr>
          <w:p w14:paraId="5C2BBB9A" w14:textId="18BF970F"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Formal requests for ethics and integrity or interest issues advice from designated persons</w:t>
            </w:r>
          </w:p>
        </w:tc>
        <w:tc>
          <w:tcPr>
            <w:tcW w:w="2055" w:type="dxa"/>
            <w:gridSpan w:val="2"/>
          </w:tcPr>
          <w:p w14:paraId="7A1E0D6D" w14:textId="1F024459"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 xml:space="preserve">Formal written </w:t>
            </w:r>
            <w:proofErr w:type="gramStart"/>
            <w:r w:rsidRPr="00546AF1">
              <w:rPr>
                <w:rFonts w:ascii="Times New Roman" w:hAnsi="Times New Roman"/>
                <w:sz w:val="18"/>
                <w:szCs w:val="22"/>
              </w:rPr>
              <w:t>advices</w:t>
            </w:r>
            <w:proofErr w:type="gramEnd"/>
            <w:r w:rsidRPr="00546AF1">
              <w:rPr>
                <w:rFonts w:ascii="Times New Roman" w:hAnsi="Times New Roman"/>
                <w:sz w:val="18"/>
                <w:szCs w:val="22"/>
              </w:rPr>
              <w:t xml:space="preserve"> issued</w:t>
            </w:r>
          </w:p>
        </w:tc>
        <w:tc>
          <w:tcPr>
            <w:tcW w:w="2059" w:type="dxa"/>
            <w:gridSpan w:val="2"/>
          </w:tcPr>
          <w:p w14:paraId="156E8B88" w14:textId="3B2840F5"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 xml:space="preserve">Formal written </w:t>
            </w:r>
            <w:proofErr w:type="gramStart"/>
            <w:r w:rsidRPr="00546AF1">
              <w:rPr>
                <w:rFonts w:ascii="Times New Roman" w:hAnsi="Times New Roman"/>
                <w:sz w:val="18"/>
                <w:szCs w:val="22"/>
              </w:rPr>
              <w:t>advices</w:t>
            </w:r>
            <w:proofErr w:type="gramEnd"/>
            <w:r w:rsidRPr="00546AF1">
              <w:rPr>
                <w:rFonts w:ascii="Times New Roman" w:hAnsi="Times New Roman"/>
                <w:sz w:val="18"/>
                <w:szCs w:val="22"/>
              </w:rPr>
              <w:t xml:space="preserve"> issued within one business day or request</w:t>
            </w:r>
          </w:p>
        </w:tc>
        <w:tc>
          <w:tcPr>
            <w:tcW w:w="2226" w:type="dxa"/>
            <w:gridSpan w:val="2"/>
          </w:tcPr>
          <w:p w14:paraId="047E17D0" w14:textId="74A84F30" w:rsidR="000D2EAC" w:rsidRPr="00546AF1" w:rsidRDefault="000D2EAC" w:rsidP="00F0013E">
            <w:pPr>
              <w:spacing w:before="120"/>
              <w:jc w:val="center"/>
              <w:rPr>
                <w:rFonts w:ascii="Times New Roman" w:hAnsi="Times New Roman"/>
                <w:i/>
                <w:iCs/>
                <w:sz w:val="18"/>
                <w:szCs w:val="22"/>
              </w:rPr>
            </w:pPr>
            <w:r w:rsidRPr="00546AF1">
              <w:rPr>
                <w:rFonts w:ascii="Times New Roman" w:hAnsi="Times New Roman"/>
                <w:sz w:val="18"/>
                <w:szCs w:val="22"/>
              </w:rPr>
              <w:t xml:space="preserve">Meeting with Members of the Legislative Assembly under chapter 3 part 3 of the </w:t>
            </w:r>
            <w:r w:rsidRPr="00546AF1">
              <w:rPr>
                <w:rFonts w:ascii="Times New Roman" w:hAnsi="Times New Roman"/>
                <w:i/>
                <w:iCs/>
                <w:sz w:val="18"/>
                <w:szCs w:val="22"/>
              </w:rPr>
              <w:t>Integrity Act 2009</w:t>
            </w:r>
          </w:p>
        </w:tc>
      </w:tr>
    </w:tbl>
    <w:p w14:paraId="52A8B9D5" w14:textId="77777777" w:rsidR="009268AD" w:rsidRPr="00546AF1" w:rsidRDefault="009268AD" w:rsidP="00BE4B1E">
      <w:pPr>
        <w:rPr>
          <w:rFonts w:ascii="Times New Roman" w:hAnsi="Times New Roman"/>
        </w:rPr>
      </w:pPr>
    </w:p>
    <w:tbl>
      <w:tblPr>
        <w:tblStyle w:val="TableGrid"/>
        <w:tblW w:w="0" w:type="auto"/>
        <w:tblLook w:val="04A0" w:firstRow="1" w:lastRow="0" w:firstColumn="1" w:lastColumn="0" w:noHBand="0" w:noVBand="1"/>
      </w:tblPr>
      <w:tblGrid>
        <w:gridCol w:w="1067"/>
        <w:gridCol w:w="1012"/>
        <w:gridCol w:w="1066"/>
        <w:gridCol w:w="1013"/>
        <w:gridCol w:w="1037"/>
        <w:gridCol w:w="987"/>
        <w:gridCol w:w="1202"/>
        <w:gridCol w:w="1013"/>
      </w:tblGrid>
      <w:tr w:rsidR="001E0F66" w:rsidRPr="00546AF1" w14:paraId="29151253" w14:textId="77777777" w:rsidTr="008C6398">
        <w:tc>
          <w:tcPr>
            <w:tcW w:w="8397" w:type="dxa"/>
            <w:gridSpan w:val="8"/>
          </w:tcPr>
          <w:p w14:paraId="6D8BE52B" w14:textId="77777777" w:rsidR="00295337" w:rsidRDefault="00295337" w:rsidP="00A61DEB">
            <w:pPr>
              <w:spacing w:after="120"/>
              <w:jc w:val="center"/>
              <w:rPr>
                <w:rFonts w:ascii="Times New Roman" w:hAnsi="Times New Roman"/>
                <w:b/>
                <w:bCs/>
              </w:rPr>
            </w:pPr>
          </w:p>
          <w:p w14:paraId="77751729" w14:textId="38C80C47" w:rsidR="000D2EAC" w:rsidRDefault="000D2EAC" w:rsidP="00A61DEB">
            <w:pPr>
              <w:spacing w:after="120"/>
              <w:jc w:val="center"/>
              <w:rPr>
                <w:rFonts w:ascii="Times New Roman" w:hAnsi="Times New Roman"/>
                <w:b/>
                <w:bCs/>
              </w:rPr>
            </w:pPr>
            <w:r w:rsidRPr="00546AF1">
              <w:rPr>
                <w:rFonts w:ascii="Times New Roman" w:hAnsi="Times New Roman"/>
                <w:b/>
                <w:bCs/>
              </w:rPr>
              <w:t>Lobbying</w:t>
            </w:r>
            <w:r w:rsidR="008C0E3F">
              <w:rPr>
                <w:rFonts w:ascii="Times New Roman" w:hAnsi="Times New Roman"/>
                <w:b/>
                <w:bCs/>
              </w:rPr>
              <w:t xml:space="preserve"> regulation</w:t>
            </w:r>
          </w:p>
          <w:p w14:paraId="3028D235" w14:textId="797ACF71" w:rsidR="00A61DEB" w:rsidRPr="00546AF1" w:rsidRDefault="00A61DEB" w:rsidP="00A61DEB">
            <w:pPr>
              <w:spacing w:after="120"/>
              <w:jc w:val="center"/>
              <w:rPr>
                <w:rFonts w:ascii="Times New Roman" w:hAnsi="Times New Roman"/>
                <w:b/>
                <w:bCs/>
              </w:rPr>
            </w:pPr>
          </w:p>
        </w:tc>
      </w:tr>
      <w:tr w:rsidR="001E0F66" w:rsidRPr="00546AF1" w14:paraId="2D808222" w14:textId="77777777" w:rsidTr="001E0F66">
        <w:tc>
          <w:tcPr>
            <w:tcW w:w="1043" w:type="dxa"/>
            <w:vAlign w:val="center"/>
          </w:tcPr>
          <w:p w14:paraId="286CBBAE" w14:textId="7CD482E7" w:rsidR="000D2EAC" w:rsidRPr="00546AF1" w:rsidRDefault="009268AD" w:rsidP="008C6398">
            <w:pPr>
              <w:jc w:val="center"/>
              <w:rPr>
                <w:rFonts w:ascii="Times New Roman" w:hAnsi="Times New Roman"/>
              </w:rPr>
            </w:pPr>
            <w:r w:rsidRPr="00546AF1">
              <w:rPr>
                <w:rFonts w:ascii="Times New Roman" w:hAnsi="Times New Roman"/>
                <w:noProof/>
              </w:rPr>
              <w:drawing>
                <wp:inline distT="0" distB="0" distL="0" distR="0" wp14:anchorId="7FAED86B" wp14:editId="6D24A0EC">
                  <wp:extent cx="540000" cy="540000"/>
                  <wp:effectExtent l="0" t="0" r="0" b="0"/>
                  <wp:docPr id="26" name="Graphic 26"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ity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1014" w:type="dxa"/>
            <w:vAlign w:val="center"/>
          </w:tcPr>
          <w:p w14:paraId="6E68C2E9" w14:textId="64D9E1C8" w:rsidR="000D2EAC" w:rsidRPr="00546AF1" w:rsidRDefault="008070C5" w:rsidP="001E0F66">
            <w:pPr>
              <w:jc w:val="left"/>
              <w:rPr>
                <w:rFonts w:ascii="Times New Roman" w:hAnsi="Times New Roman"/>
                <w:b/>
                <w:bCs/>
                <w:sz w:val="52"/>
                <w:szCs w:val="52"/>
              </w:rPr>
            </w:pPr>
            <w:r w:rsidRPr="00546AF1">
              <w:rPr>
                <w:rFonts w:ascii="Times New Roman" w:hAnsi="Times New Roman"/>
                <w:b/>
                <w:bCs/>
                <w:sz w:val="52"/>
                <w:szCs w:val="52"/>
              </w:rPr>
              <w:t>123</w:t>
            </w:r>
          </w:p>
        </w:tc>
        <w:tc>
          <w:tcPr>
            <w:tcW w:w="1040" w:type="dxa"/>
            <w:vAlign w:val="center"/>
          </w:tcPr>
          <w:p w14:paraId="440A4BC9" w14:textId="208085C0" w:rsidR="000D2EAC" w:rsidRPr="00546AF1" w:rsidRDefault="009268AD" w:rsidP="008C6398">
            <w:pPr>
              <w:jc w:val="center"/>
              <w:rPr>
                <w:rFonts w:ascii="Times New Roman" w:hAnsi="Times New Roman"/>
              </w:rPr>
            </w:pPr>
            <w:r w:rsidRPr="00546AF1">
              <w:rPr>
                <w:rFonts w:ascii="Times New Roman" w:hAnsi="Times New Roman"/>
                <w:noProof/>
              </w:rPr>
              <w:drawing>
                <wp:inline distT="0" distB="0" distL="0" distR="0" wp14:anchorId="159C7075" wp14:editId="313E6656">
                  <wp:extent cx="540000" cy="540000"/>
                  <wp:effectExtent l="0" t="0" r="0" b="0"/>
                  <wp:docPr id="28" name="Graphic 28"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User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40000" cy="540000"/>
                          </a:xfrm>
                          <a:prstGeom prst="rect">
                            <a:avLst/>
                          </a:prstGeom>
                        </pic:spPr>
                      </pic:pic>
                    </a:graphicData>
                  </a:graphic>
                </wp:inline>
              </w:drawing>
            </w:r>
          </w:p>
        </w:tc>
        <w:tc>
          <w:tcPr>
            <w:tcW w:w="1015" w:type="dxa"/>
            <w:vAlign w:val="center"/>
          </w:tcPr>
          <w:p w14:paraId="5A0A25E0" w14:textId="03E31C46" w:rsidR="000D2EAC" w:rsidRPr="00546AF1" w:rsidRDefault="008070C5" w:rsidP="004232CB">
            <w:pPr>
              <w:jc w:val="left"/>
              <w:rPr>
                <w:rFonts w:ascii="Times New Roman" w:hAnsi="Times New Roman"/>
                <w:b/>
                <w:bCs/>
                <w:sz w:val="52"/>
                <w:szCs w:val="52"/>
              </w:rPr>
            </w:pPr>
            <w:r w:rsidRPr="00546AF1">
              <w:rPr>
                <w:rFonts w:ascii="Times New Roman" w:hAnsi="Times New Roman"/>
                <w:b/>
                <w:bCs/>
                <w:sz w:val="52"/>
                <w:szCs w:val="52"/>
              </w:rPr>
              <w:t>277</w:t>
            </w:r>
          </w:p>
        </w:tc>
        <w:tc>
          <w:tcPr>
            <w:tcW w:w="1044" w:type="dxa"/>
            <w:vAlign w:val="center"/>
          </w:tcPr>
          <w:p w14:paraId="525BE3A2" w14:textId="59B95FF3" w:rsidR="000D2EAC" w:rsidRPr="00546AF1" w:rsidRDefault="000D2EAC" w:rsidP="008C6398">
            <w:pPr>
              <w:jc w:val="center"/>
              <w:rPr>
                <w:rFonts w:ascii="Times New Roman" w:hAnsi="Times New Roman"/>
              </w:rPr>
            </w:pPr>
            <w:r w:rsidRPr="00546AF1">
              <w:rPr>
                <w:rFonts w:ascii="Times New Roman" w:hAnsi="Times New Roman"/>
                <w:noProof/>
                <w:position w:val="-26"/>
              </w:rPr>
              <w:drawing>
                <wp:inline distT="0" distB="0" distL="0" distR="0" wp14:anchorId="619538A8" wp14:editId="41E8BA99">
                  <wp:extent cx="480000" cy="540000"/>
                  <wp:effectExtent l="0" t="0" r="0" b="0"/>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png"/>
                          <pic:cNvPicPr/>
                        </pic:nvPicPr>
                        <pic:blipFill>
                          <a:blip r:embed="rId34" cstate="print">
                            <a:biLevel thresh="75000"/>
                          </a:blip>
                          <a:stretch>
                            <a:fillRect/>
                          </a:stretch>
                        </pic:blipFill>
                        <pic:spPr>
                          <a:xfrm>
                            <a:off x="0" y="0"/>
                            <a:ext cx="480000" cy="540000"/>
                          </a:xfrm>
                          <a:prstGeom prst="rect">
                            <a:avLst/>
                          </a:prstGeom>
                        </pic:spPr>
                      </pic:pic>
                    </a:graphicData>
                  </a:graphic>
                </wp:inline>
              </w:drawing>
            </w:r>
          </w:p>
        </w:tc>
        <w:tc>
          <w:tcPr>
            <w:tcW w:w="1015" w:type="dxa"/>
            <w:vAlign w:val="center"/>
          </w:tcPr>
          <w:p w14:paraId="2A388EDA" w14:textId="020672F5" w:rsidR="000D2EAC" w:rsidRPr="00546AF1" w:rsidRDefault="008070C5" w:rsidP="004232CB">
            <w:pPr>
              <w:jc w:val="left"/>
              <w:rPr>
                <w:rFonts w:ascii="Times New Roman" w:hAnsi="Times New Roman"/>
                <w:b/>
                <w:bCs/>
                <w:sz w:val="52"/>
                <w:szCs w:val="52"/>
              </w:rPr>
            </w:pPr>
            <w:r w:rsidRPr="00546AF1">
              <w:rPr>
                <w:rFonts w:ascii="Times New Roman" w:hAnsi="Times New Roman"/>
                <w:b/>
                <w:bCs/>
                <w:sz w:val="52"/>
                <w:szCs w:val="52"/>
              </w:rPr>
              <w:t>38</w:t>
            </w:r>
          </w:p>
        </w:tc>
        <w:tc>
          <w:tcPr>
            <w:tcW w:w="1211" w:type="dxa"/>
            <w:vAlign w:val="center"/>
          </w:tcPr>
          <w:p w14:paraId="56CD023B" w14:textId="2829B7C7" w:rsidR="000D2EAC" w:rsidRPr="00546AF1" w:rsidRDefault="009268AD" w:rsidP="008C6398">
            <w:pPr>
              <w:jc w:val="center"/>
              <w:rPr>
                <w:rFonts w:ascii="Times New Roman" w:hAnsi="Times New Roman"/>
              </w:rPr>
            </w:pPr>
            <w:r w:rsidRPr="00546AF1">
              <w:rPr>
                <w:rFonts w:ascii="Times New Roman" w:hAnsi="Times New Roman"/>
                <w:noProof/>
              </w:rPr>
              <w:drawing>
                <wp:inline distT="0" distB="0" distL="0" distR="0" wp14:anchorId="70205FF6" wp14:editId="184B52C1">
                  <wp:extent cx="576000" cy="576000"/>
                  <wp:effectExtent l="0" t="0" r="0" b="0"/>
                  <wp:docPr id="24" name="Graphic 24"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andshake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76000" cy="576000"/>
                          </a:xfrm>
                          <a:prstGeom prst="rect">
                            <a:avLst/>
                          </a:prstGeom>
                        </pic:spPr>
                      </pic:pic>
                    </a:graphicData>
                  </a:graphic>
                </wp:inline>
              </w:drawing>
            </w:r>
          </w:p>
        </w:tc>
        <w:tc>
          <w:tcPr>
            <w:tcW w:w="1015" w:type="dxa"/>
            <w:vAlign w:val="center"/>
          </w:tcPr>
          <w:p w14:paraId="11DB84C0" w14:textId="200018F3" w:rsidR="000D2EAC" w:rsidRPr="00546AF1" w:rsidRDefault="001E0F66" w:rsidP="004232CB">
            <w:pPr>
              <w:jc w:val="left"/>
              <w:rPr>
                <w:rFonts w:ascii="Times New Roman" w:hAnsi="Times New Roman"/>
                <w:b/>
                <w:bCs/>
                <w:sz w:val="52"/>
                <w:szCs w:val="52"/>
              </w:rPr>
            </w:pPr>
            <w:r w:rsidRPr="00546AF1">
              <w:rPr>
                <w:rFonts w:ascii="Times New Roman" w:hAnsi="Times New Roman"/>
                <w:b/>
                <w:bCs/>
                <w:sz w:val="52"/>
                <w:szCs w:val="52"/>
              </w:rPr>
              <w:t>989</w:t>
            </w:r>
          </w:p>
        </w:tc>
      </w:tr>
      <w:tr w:rsidR="001E0F66" w:rsidRPr="00546AF1" w14:paraId="2C569699" w14:textId="77777777" w:rsidTr="008C6398">
        <w:tc>
          <w:tcPr>
            <w:tcW w:w="2057" w:type="dxa"/>
            <w:gridSpan w:val="2"/>
          </w:tcPr>
          <w:p w14:paraId="360D17A9" w14:textId="7E5E03A3"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Registered entities</w:t>
            </w:r>
          </w:p>
        </w:tc>
        <w:tc>
          <w:tcPr>
            <w:tcW w:w="2055" w:type="dxa"/>
            <w:gridSpan w:val="2"/>
          </w:tcPr>
          <w:p w14:paraId="2F5188E9" w14:textId="2D7A01D5"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Registered listed persons</w:t>
            </w:r>
          </w:p>
        </w:tc>
        <w:tc>
          <w:tcPr>
            <w:tcW w:w="2059" w:type="dxa"/>
            <w:gridSpan w:val="2"/>
          </w:tcPr>
          <w:p w14:paraId="65FE164E" w14:textId="70CE8086"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Enquiries about lobbying</w:t>
            </w:r>
          </w:p>
        </w:tc>
        <w:tc>
          <w:tcPr>
            <w:tcW w:w="2226" w:type="dxa"/>
            <w:gridSpan w:val="2"/>
          </w:tcPr>
          <w:p w14:paraId="5FAA88FF" w14:textId="62BB34B3" w:rsidR="000D2EAC" w:rsidRPr="00546AF1" w:rsidRDefault="000D2EAC" w:rsidP="00F0013E">
            <w:pPr>
              <w:spacing w:before="120"/>
              <w:jc w:val="center"/>
              <w:rPr>
                <w:rFonts w:ascii="Times New Roman" w:hAnsi="Times New Roman"/>
                <w:sz w:val="18"/>
                <w:szCs w:val="22"/>
              </w:rPr>
            </w:pPr>
            <w:r w:rsidRPr="00546AF1">
              <w:rPr>
                <w:rFonts w:ascii="Times New Roman" w:hAnsi="Times New Roman"/>
                <w:sz w:val="18"/>
                <w:szCs w:val="22"/>
              </w:rPr>
              <w:t>Lobbying contact with government representatives</w:t>
            </w:r>
          </w:p>
        </w:tc>
      </w:tr>
    </w:tbl>
    <w:p w14:paraId="1E238254" w14:textId="77777777" w:rsidR="009268AD" w:rsidRPr="00546AF1" w:rsidRDefault="009268AD" w:rsidP="000D2EAC">
      <w:pPr>
        <w:rPr>
          <w:rFonts w:ascii="Times New Roman" w:hAnsi="Times New Roman"/>
        </w:rPr>
      </w:pPr>
    </w:p>
    <w:tbl>
      <w:tblPr>
        <w:tblStyle w:val="TableGrid"/>
        <w:tblW w:w="0" w:type="auto"/>
        <w:tblLook w:val="04A0" w:firstRow="1" w:lastRow="0" w:firstColumn="1" w:lastColumn="0" w:noHBand="0" w:noVBand="1"/>
      </w:tblPr>
      <w:tblGrid>
        <w:gridCol w:w="1247"/>
        <w:gridCol w:w="1088"/>
        <w:gridCol w:w="1004"/>
        <w:gridCol w:w="1066"/>
        <w:gridCol w:w="1005"/>
        <w:gridCol w:w="1057"/>
        <w:gridCol w:w="1014"/>
        <w:gridCol w:w="916"/>
      </w:tblGrid>
      <w:tr w:rsidR="001E0F66" w:rsidRPr="00546AF1" w14:paraId="622C3965" w14:textId="77777777" w:rsidTr="008C6398">
        <w:tc>
          <w:tcPr>
            <w:tcW w:w="8397" w:type="dxa"/>
            <w:gridSpan w:val="8"/>
          </w:tcPr>
          <w:p w14:paraId="7888BA3A" w14:textId="77777777" w:rsidR="00295337" w:rsidRDefault="00295337" w:rsidP="00A61DEB">
            <w:pPr>
              <w:spacing w:after="120"/>
              <w:jc w:val="center"/>
              <w:rPr>
                <w:rFonts w:ascii="Times New Roman" w:hAnsi="Times New Roman"/>
                <w:b/>
                <w:bCs/>
              </w:rPr>
            </w:pPr>
          </w:p>
          <w:p w14:paraId="2DE3170A" w14:textId="2AE3999C" w:rsidR="000D2EAC" w:rsidRDefault="000D2EAC" w:rsidP="00A61DEB">
            <w:pPr>
              <w:spacing w:after="120"/>
              <w:jc w:val="center"/>
              <w:rPr>
                <w:rFonts w:ascii="Times New Roman" w:hAnsi="Times New Roman"/>
                <w:b/>
                <w:bCs/>
              </w:rPr>
            </w:pPr>
            <w:r w:rsidRPr="00546AF1">
              <w:rPr>
                <w:rFonts w:ascii="Times New Roman" w:hAnsi="Times New Roman"/>
                <w:b/>
                <w:bCs/>
              </w:rPr>
              <w:t>Public awareness function</w:t>
            </w:r>
          </w:p>
          <w:p w14:paraId="62D3608F" w14:textId="62067C80" w:rsidR="00A61DEB" w:rsidRPr="00546AF1" w:rsidRDefault="00A61DEB" w:rsidP="00A61DEB">
            <w:pPr>
              <w:spacing w:after="120"/>
              <w:jc w:val="center"/>
              <w:rPr>
                <w:rFonts w:ascii="Times New Roman" w:hAnsi="Times New Roman"/>
                <w:b/>
                <w:bCs/>
              </w:rPr>
            </w:pPr>
          </w:p>
        </w:tc>
      </w:tr>
      <w:tr w:rsidR="002525AD" w:rsidRPr="00546AF1" w14:paraId="38D32020" w14:textId="77777777" w:rsidTr="002525AD">
        <w:trPr>
          <w:gridAfter w:val="1"/>
          <w:wAfter w:w="916" w:type="dxa"/>
        </w:trPr>
        <w:tc>
          <w:tcPr>
            <w:tcW w:w="1247" w:type="dxa"/>
          </w:tcPr>
          <w:p w14:paraId="02773331" w14:textId="77777777" w:rsidR="002525AD" w:rsidRPr="00546AF1" w:rsidRDefault="002525AD" w:rsidP="008C6398">
            <w:pPr>
              <w:jc w:val="center"/>
              <w:rPr>
                <w:rFonts w:ascii="Times New Roman" w:hAnsi="Times New Roman"/>
                <w:noProof/>
                <w:position w:val="-25"/>
              </w:rPr>
            </w:pPr>
          </w:p>
        </w:tc>
        <w:tc>
          <w:tcPr>
            <w:tcW w:w="1088" w:type="dxa"/>
            <w:vAlign w:val="center"/>
          </w:tcPr>
          <w:p w14:paraId="55A2C3A9" w14:textId="7343934F" w:rsidR="002525AD" w:rsidRPr="00546AF1" w:rsidRDefault="002525AD" w:rsidP="008C6398">
            <w:pPr>
              <w:jc w:val="center"/>
              <w:rPr>
                <w:rFonts w:ascii="Times New Roman" w:hAnsi="Times New Roman"/>
              </w:rPr>
            </w:pPr>
            <w:r w:rsidRPr="00546AF1">
              <w:rPr>
                <w:rFonts w:ascii="Times New Roman" w:hAnsi="Times New Roman"/>
                <w:noProof/>
                <w:position w:val="-25"/>
              </w:rPr>
              <w:drawing>
                <wp:inline distT="0" distB="0" distL="0" distR="0" wp14:anchorId="43C0BCB9" wp14:editId="1CB2816B">
                  <wp:extent cx="553984" cy="504000"/>
                  <wp:effectExtent l="0" t="0" r="0" b="0"/>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37" cstate="print">
                            <a:biLevel thresh="75000"/>
                          </a:blip>
                          <a:stretch>
                            <a:fillRect/>
                          </a:stretch>
                        </pic:blipFill>
                        <pic:spPr>
                          <a:xfrm>
                            <a:off x="0" y="0"/>
                            <a:ext cx="553984" cy="504000"/>
                          </a:xfrm>
                          <a:prstGeom prst="rect">
                            <a:avLst/>
                          </a:prstGeom>
                        </pic:spPr>
                      </pic:pic>
                    </a:graphicData>
                  </a:graphic>
                </wp:inline>
              </w:drawing>
            </w:r>
          </w:p>
        </w:tc>
        <w:tc>
          <w:tcPr>
            <w:tcW w:w="1004" w:type="dxa"/>
            <w:vAlign w:val="center"/>
          </w:tcPr>
          <w:p w14:paraId="603920C8" w14:textId="049BF66F" w:rsidR="002525AD" w:rsidRPr="00546AF1" w:rsidRDefault="002525AD" w:rsidP="004232CB">
            <w:pPr>
              <w:jc w:val="left"/>
              <w:rPr>
                <w:rFonts w:ascii="Times New Roman" w:hAnsi="Times New Roman"/>
                <w:b/>
                <w:bCs/>
                <w:sz w:val="52"/>
                <w:szCs w:val="52"/>
              </w:rPr>
            </w:pPr>
            <w:r w:rsidRPr="00546AF1">
              <w:rPr>
                <w:rFonts w:ascii="Times New Roman" w:hAnsi="Times New Roman"/>
                <w:b/>
                <w:bCs/>
                <w:sz w:val="52"/>
                <w:szCs w:val="52"/>
              </w:rPr>
              <w:t>20</w:t>
            </w:r>
          </w:p>
        </w:tc>
        <w:tc>
          <w:tcPr>
            <w:tcW w:w="1066" w:type="dxa"/>
            <w:vAlign w:val="center"/>
          </w:tcPr>
          <w:p w14:paraId="0AAB7233" w14:textId="4C5C4740" w:rsidR="002525AD" w:rsidRPr="00546AF1" w:rsidRDefault="002525AD" w:rsidP="008C6398">
            <w:pPr>
              <w:jc w:val="center"/>
              <w:rPr>
                <w:rFonts w:ascii="Times New Roman" w:hAnsi="Times New Roman"/>
              </w:rPr>
            </w:pPr>
            <w:r w:rsidRPr="00546AF1">
              <w:rPr>
                <w:rFonts w:ascii="Times New Roman" w:hAnsi="Times New Roman"/>
                <w:noProof/>
              </w:rPr>
              <w:drawing>
                <wp:inline distT="0" distB="0" distL="0" distR="0" wp14:anchorId="1D6B3502" wp14:editId="071BAE68">
                  <wp:extent cx="540000" cy="540000"/>
                  <wp:effectExtent l="0" t="0" r="0" b="0"/>
                  <wp:docPr id="39" name="Graphic 39"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Meeting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40000" cy="540000"/>
                          </a:xfrm>
                          <a:prstGeom prst="rect">
                            <a:avLst/>
                          </a:prstGeom>
                        </pic:spPr>
                      </pic:pic>
                    </a:graphicData>
                  </a:graphic>
                </wp:inline>
              </w:drawing>
            </w:r>
          </w:p>
        </w:tc>
        <w:tc>
          <w:tcPr>
            <w:tcW w:w="1005" w:type="dxa"/>
            <w:vAlign w:val="center"/>
          </w:tcPr>
          <w:p w14:paraId="6E48C453" w14:textId="30F48B97" w:rsidR="002525AD" w:rsidRPr="00546AF1" w:rsidRDefault="002525AD" w:rsidP="004232CB">
            <w:pPr>
              <w:jc w:val="left"/>
              <w:rPr>
                <w:rFonts w:ascii="Times New Roman" w:hAnsi="Times New Roman"/>
                <w:b/>
                <w:bCs/>
                <w:sz w:val="52"/>
                <w:szCs w:val="52"/>
              </w:rPr>
            </w:pPr>
            <w:r w:rsidRPr="00546AF1">
              <w:rPr>
                <w:rFonts w:ascii="Times New Roman" w:hAnsi="Times New Roman"/>
                <w:b/>
                <w:bCs/>
                <w:sz w:val="52"/>
                <w:szCs w:val="52"/>
              </w:rPr>
              <w:t>13</w:t>
            </w:r>
          </w:p>
        </w:tc>
        <w:tc>
          <w:tcPr>
            <w:tcW w:w="1057" w:type="dxa"/>
            <w:vAlign w:val="center"/>
          </w:tcPr>
          <w:p w14:paraId="78A08E06" w14:textId="62EBB5E9" w:rsidR="002525AD" w:rsidRPr="00546AF1" w:rsidRDefault="002525AD" w:rsidP="008C6398">
            <w:pPr>
              <w:jc w:val="center"/>
              <w:rPr>
                <w:rFonts w:ascii="Times New Roman" w:hAnsi="Times New Roman"/>
              </w:rPr>
            </w:pPr>
            <w:r w:rsidRPr="00546AF1">
              <w:rPr>
                <w:rFonts w:ascii="Times New Roman" w:hAnsi="Times New Roman"/>
                <w:noProof/>
                <w:position w:val="-22"/>
              </w:rPr>
              <w:drawing>
                <wp:inline distT="0" distB="0" distL="0" distR="0" wp14:anchorId="77BD0CCA" wp14:editId="4BFE78AA">
                  <wp:extent cx="534501" cy="504000"/>
                  <wp:effectExtent l="0" t="0" r="0" b="0"/>
                  <wp:docPr id="29" name="image24.png" descr="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40" cstate="print">
                            <a:biLevel thresh="75000"/>
                          </a:blip>
                          <a:stretch>
                            <a:fillRect/>
                          </a:stretch>
                        </pic:blipFill>
                        <pic:spPr>
                          <a:xfrm>
                            <a:off x="0" y="0"/>
                            <a:ext cx="534501" cy="504000"/>
                          </a:xfrm>
                          <a:prstGeom prst="rect">
                            <a:avLst/>
                          </a:prstGeom>
                        </pic:spPr>
                      </pic:pic>
                    </a:graphicData>
                  </a:graphic>
                </wp:inline>
              </w:drawing>
            </w:r>
          </w:p>
        </w:tc>
        <w:tc>
          <w:tcPr>
            <w:tcW w:w="1014" w:type="dxa"/>
            <w:vAlign w:val="center"/>
          </w:tcPr>
          <w:p w14:paraId="42756F58" w14:textId="72D3B5EA" w:rsidR="002525AD" w:rsidRPr="00546AF1" w:rsidRDefault="002525AD" w:rsidP="004232CB">
            <w:pPr>
              <w:jc w:val="left"/>
              <w:rPr>
                <w:rFonts w:ascii="Times New Roman" w:hAnsi="Times New Roman"/>
              </w:rPr>
            </w:pPr>
            <w:r w:rsidRPr="00546AF1">
              <w:rPr>
                <w:rFonts w:ascii="Times New Roman" w:hAnsi="Times New Roman"/>
                <w:b/>
                <w:bCs/>
                <w:sz w:val="52"/>
                <w:szCs w:val="52"/>
              </w:rPr>
              <w:t>113</w:t>
            </w:r>
          </w:p>
        </w:tc>
      </w:tr>
      <w:tr w:rsidR="002525AD" w:rsidRPr="00546AF1" w14:paraId="32DE2A3C" w14:textId="77777777" w:rsidTr="002525AD">
        <w:trPr>
          <w:gridAfter w:val="1"/>
          <w:wAfter w:w="916" w:type="dxa"/>
        </w:trPr>
        <w:tc>
          <w:tcPr>
            <w:tcW w:w="1247" w:type="dxa"/>
          </w:tcPr>
          <w:p w14:paraId="458FF3D1" w14:textId="77777777" w:rsidR="002525AD" w:rsidRPr="00546AF1" w:rsidRDefault="002525AD" w:rsidP="00F0013E">
            <w:pPr>
              <w:spacing w:before="120"/>
              <w:jc w:val="center"/>
              <w:rPr>
                <w:rFonts w:ascii="Times New Roman" w:hAnsi="Times New Roman"/>
                <w:sz w:val="18"/>
                <w:szCs w:val="22"/>
              </w:rPr>
            </w:pPr>
          </w:p>
        </w:tc>
        <w:tc>
          <w:tcPr>
            <w:tcW w:w="2092" w:type="dxa"/>
            <w:gridSpan w:val="2"/>
          </w:tcPr>
          <w:p w14:paraId="168436B5" w14:textId="0CA2331F" w:rsidR="002525AD" w:rsidRPr="00546AF1" w:rsidRDefault="002525AD" w:rsidP="00F0013E">
            <w:pPr>
              <w:spacing w:before="120"/>
              <w:jc w:val="center"/>
              <w:rPr>
                <w:rFonts w:ascii="Times New Roman" w:hAnsi="Times New Roman"/>
                <w:sz w:val="18"/>
                <w:szCs w:val="22"/>
              </w:rPr>
            </w:pPr>
            <w:r w:rsidRPr="00546AF1">
              <w:rPr>
                <w:rFonts w:ascii="Times New Roman" w:hAnsi="Times New Roman"/>
                <w:sz w:val="18"/>
                <w:szCs w:val="22"/>
              </w:rPr>
              <w:t>Information sessions run state-wide</w:t>
            </w:r>
          </w:p>
        </w:tc>
        <w:tc>
          <w:tcPr>
            <w:tcW w:w="2071" w:type="dxa"/>
            <w:gridSpan w:val="2"/>
          </w:tcPr>
          <w:p w14:paraId="69337161" w14:textId="56A8A9E2" w:rsidR="002525AD" w:rsidRPr="00546AF1" w:rsidRDefault="002525AD" w:rsidP="00F0013E">
            <w:pPr>
              <w:spacing w:before="120"/>
              <w:jc w:val="center"/>
              <w:rPr>
                <w:rFonts w:ascii="Times New Roman" w:hAnsi="Times New Roman"/>
                <w:sz w:val="18"/>
                <w:szCs w:val="22"/>
              </w:rPr>
            </w:pPr>
            <w:r w:rsidRPr="00546AF1">
              <w:rPr>
                <w:rFonts w:ascii="Times New Roman" w:hAnsi="Times New Roman"/>
                <w:sz w:val="18"/>
                <w:szCs w:val="22"/>
              </w:rPr>
              <w:t>Preliminary education events</w:t>
            </w:r>
          </w:p>
        </w:tc>
        <w:tc>
          <w:tcPr>
            <w:tcW w:w="2071" w:type="dxa"/>
            <w:gridSpan w:val="2"/>
          </w:tcPr>
          <w:p w14:paraId="759175D8" w14:textId="69491DB2" w:rsidR="002525AD" w:rsidRPr="00546AF1" w:rsidRDefault="002525AD" w:rsidP="00F0013E">
            <w:pPr>
              <w:spacing w:before="120"/>
              <w:jc w:val="center"/>
              <w:rPr>
                <w:rFonts w:ascii="Times New Roman" w:hAnsi="Times New Roman"/>
                <w:sz w:val="18"/>
                <w:szCs w:val="22"/>
              </w:rPr>
            </w:pPr>
            <w:r w:rsidRPr="00546AF1">
              <w:rPr>
                <w:rFonts w:ascii="Times New Roman" w:hAnsi="Times New Roman"/>
                <w:sz w:val="18"/>
                <w:szCs w:val="22"/>
              </w:rPr>
              <w:t xml:space="preserve">Committees, </w:t>
            </w:r>
            <w:proofErr w:type="gramStart"/>
            <w:r w:rsidRPr="00546AF1">
              <w:rPr>
                <w:rFonts w:ascii="Times New Roman" w:hAnsi="Times New Roman"/>
                <w:sz w:val="18"/>
                <w:szCs w:val="22"/>
              </w:rPr>
              <w:t>meetings</w:t>
            </w:r>
            <w:proofErr w:type="gramEnd"/>
            <w:r w:rsidRPr="00546AF1">
              <w:rPr>
                <w:rFonts w:ascii="Times New Roman" w:hAnsi="Times New Roman"/>
                <w:sz w:val="18"/>
                <w:szCs w:val="22"/>
              </w:rPr>
              <w:t xml:space="preserve"> and other events</w:t>
            </w:r>
          </w:p>
        </w:tc>
      </w:tr>
    </w:tbl>
    <w:p w14:paraId="1494A79E" w14:textId="305D4AFE" w:rsidR="009268AD" w:rsidRDefault="009268AD" w:rsidP="00BE4B1E">
      <w:pPr>
        <w:rPr>
          <w:rFonts w:ascii="Times New Roman" w:hAnsi="Times New Roman"/>
        </w:rPr>
      </w:pPr>
    </w:p>
    <w:p w14:paraId="0612B8EF" w14:textId="77777777" w:rsidR="00295337" w:rsidRDefault="00295337" w:rsidP="00BE4B1E">
      <w:pPr>
        <w:rPr>
          <w:rFonts w:ascii="Times New Roman" w:hAnsi="Times New Roman"/>
        </w:rPr>
      </w:pPr>
    </w:p>
    <w:p w14:paraId="64F3A43F" w14:textId="77777777" w:rsidR="00A61DEB" w:rsidRPr="00546AF1" w:rsidRDefault="00A61DEB" w:rsidP="00BE4B1E">
      <w:pPr>
        <w:rPr>
          <w:rFonts w:ascii="Times New Roman" w:hAnsi="Times New Roman"/>
        </w:rPr>
      </w:pPr>
    </w:p>
    <w:tbl>
      <w:tblPr>
        <w:tblStyle w:val="TableGrid"/>
        <w:tblW w:w="0" w:type="auto"/>
        <w:tblLook w:val="04A0" w:firstRow="1" w:lastRow="0" w:firstColumn="1" w:lastColumn="0" w:noHBand="0" w:noVBand="1"/>
      </w:tblPr>
      <w:tblGrid>
        <w:gridCol w:w="1137"/>
        <w:gridCol w:w="996"/>
        <w:gridCol w:w="1091"/>
        <w:gridCol w:w="997"/>
        <w:gridCol w:w="1056"/>
        <w:gridCol w:w="963"/>
        <w:gridCol w:w="1179"/>
        <w:gridCol w:w="978"/>
      </w:tblGrid>
      <w:tr w:rsidR="001E0F66" w:rsidRPr="00546AF1" w14:paraId="4C92F953" w14:textId="77777777" w:rsidTr="005E4078">
        <w:trPr>
          <w:trHeight w:val="277"/>
        </w:trPr>
        <w:tc>
          <w:tcPr>
            <w:tcW w:w="4226" w:type="dxa"/>
            <w:gridSpan w:val="4"/>
            <w:vAlign w:val="center"/>
          </w:tcPr>
          <w:p w14:paraId="365D7391" w14:textId="393DBB41" w:rsidR="004232CB" w:rsidRPr="00546AF1" w:rsidRDefault="004232CB" w:rsidP="00A61DEB">
            <w:pPr>
              <w:spacing w:after="120"/>
              <w:jc w:val="center"/>
              <w:rPr>
                <w:rFonts w:ascii="Times New Roman" w:hAnsi="Times New Roman"/>
                <w:b/>
                <w:bCs/>
              </w:rPr>
            </w:pPr>
            <w:r w:rsidRPr="00546AF1">
              <w:rPr>
                <w:rFonts w:ascii="Times New Roman" w:hAnsi="Times New Roman"/>
                <w:b/>
                <w:bCs/>
              </w:rPr>
              <w:t>General information</w:t>
            </w:r>
          </w:p>
        </w:tc>
        <w:tc>
          <w:tcPr>
            <w:tcW w:w="2014" w:type="dxa"/>
            <w:gridSpan w:val="2"/>
            <w:vAlign w:val="center"/>
          </w:tcPr>
          <w:p w14:paraId="145BB834" w14:textId="5BDE98A9" w:rsidR="004232CB" w:rsidRPr="00546AF1" w:rsidRDefault="004232CB" w:rsidP="00A61DEB">
            <w:pPr>
              <w:spacing w:after="120"/>
              <w:jc w:val="center"/>
              <w:rPr>
                <w:rFonts w:ascii="Times New Roman" w:hAnsi="Times New Roman"/>
                <w:b/>
                <w:bCs/>
              </w:rPr>
            </w:pPr>
            <w:r w:rsidRPr="00546AF1">
              <w:rPr>
                <w:rFonts w:ascii="Times New Roman" w:hAnsi="Times New Roman"/>
                <w:b/>
                <w:bCs/>
              </w:rPr>
              <w:t>Staff</w:t>
            </w:r>
          </w:p>
        </w:tc>
        <w:tc>
          <w:tcPr>
            <w:tcW w:w="2157" w:type="dxa"/>
            <w:gridSpan w:val="2"/>
            <w:vAlign w:val="center"/>
          </w:tcPr>
          <w:p w14:paraId="7918EEED" w14:textId="25B28FCC" w:rsidR="004232CB" w:rsidRPr="00546AF1" w:rsidRDefault="004232CB" w:rsidP="00A61DEB">
            <w:pPr>
              <w:spacing w:after="120"/>
              <w:jc w:val="center"/>
              <w:rPr>
                <w:rFonts w:ascii="Times New Roman" w:hAnsi="Times New Roman"/>
                <w:b/>
                <w:bCs/>
              </w:rPr>
            </w:pPr>
            <w:r w:rsidRPr="00546AF1">
              <w:rPr>
                <w:rFonts w:ascii="Times New Roman" w:hAnsi="Times New Roman"/>
                <w:b/>
                <w:bCs/>
              </w:rPr>
              <w:t>Budget</w:t>
            </w:r>
          </w:p>
        </w:tc>
      </w:tr>
      <w:tr w:rsidR="001E0F66" w:rsidRPr="00546AF1" w14:paraId="7AEA303B" w14:textId="77777777" w:rsidTr="001E0F66">
        <w:trPr>
          <w:trHeight w:val="277"/>
        </w:trPr>
        <w:tc>
          <w:tcPr>
            <w:tcW w:w="1137" w:type="dxa"/>
            <w:vAlign w:val="center"/>
          </w:tcPr>
          <w:p w14:paraId="1DD405B2" w14:textId="21265918" w:rsidR="004232CB" w:rsidRPr="00546AF1" w:rsidRDefault="004232CB" w:rsidP="004232CB">
            <w:pPr>
              <w:jc w:val="center"/>
              <w:rPr>
                <w:rFonts w:ascii="Times New Roman" w:hAnsi="Times New Roman"/>
                <w:noProof/>
                <w:position w:val="-27"/>
              </w:rPr>
            </w:pPr>
            <w:r w:rsidRPr="00546AF1">
              <w:rPr>
                <w:rFonts w:ascii="Times New Roman" w:hAnsi="Times New Roman"/>
                <w:noProof/>
                <w:position w:val="-27"/>
              </w:rPr>
              <w:drawing>
                <wp:inline distT="0" distB="0" distL="0" distR="0" wp14:anchorId="5734C05D" wp14:editId="38A3CB51">
                  <wp:extent cx="531692" cy="576000"/>
                  <wp:effectExtent l="0" t="0" r="1905" b="0"/>
                  <wp:docPr id="3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png"/>
                          <pic:cNvPicPr/>
                        </pic:nvPicPr>
                        <pic:blipFill>
                          <a:blip r:embed="rId41" cstate="print">
                            <a:biLevel thresh="75000"/>
                          </a:blip>
                          <a:stretch>
                            <a:fillRect/>
                          </a:stretch>
                        </pic:blipFill>
                        <pic:spPr>
                          <a:xfrm>
                            <a:off x="0" y="0"/>
                            <a:ext cx="531692" cy="576000"/>
                          </a:xfrm>
                          <a:prstGeom prst="rect">
                            <a:avLst/>
                          </a:prstGeom>
                        </pic:spPr>
                      </pic:pic>
                    </a:graphicData>
                  </a:graphic>
                </wp:inline>
              </w:drawing>
            </w:r>
          </w:p>
        </w:tc>
        <w:tc>
          <w:tcPr>
            <w:tcW w:w="998" w:type="dxa"/>
            <w:vAlign w:val="center"/>
          </w:tcPr>
          <w:p w14:paraId="69EB4AD7" w14:textId="0B4811AF" w:rsidR="004232CB" w:rsidRPr="00546AF1" w:rsidRDefault="004232CB" w:rsidP="004232CB">
            <w:pPr>
              <w:jc w:val="left"/>
              <w:rPr>
                <w:rFonts w:ascii="Times New Roman" w:hAnsi="Times New Roman"/>
                <w:b/>
                <w:bCs/>
                <w:sz w:val="52"/>
                <w:szCs w:val="52"/>
              </w:rPr>
            </w:pPr>
            <w:r w:rsidRPr="00546AF1">
              <w:rPr>
                <w:rFonts w:ascii="Times New Roman" w:hAnsi="Times New Roman"/>
                <w:b/>
                <w:bCs/>
                <w:sz w:val="52"/>
                <w:szCs w:val="52"/>
              </w:rPr>
              <w:t>71</w:t>
            </w:r>
          </w:p>
        </w:tc>
        <w:tc>
          <w:tcPr>
            <w:tcW w:w="1092" w:type="dxa"/>
            <w:vAlign w:val="center"/>
          </w:tcPr>
          <w:p w14:paraId="02A2F765" w14:textId="66DB152D" w:rsidR="004232CB" w:rsidRPr="00546AF1" w:rsidRDefault="004232CB" w:rsidP="004232CB">
            <w:pPr>
              <w:jc w:val="center"/>
              <w:rPr>
                <w:rFonts w:ascii="Times New Roman" w:hAnsi="Times New Roman"/>
                <w:noProof/>
                <w:position w:val="-20"/>
              </w:rPr>
            </w:pPr>
            <w:r w:rsidRPr="00546AF1">
              <w:rPr>
                <w:rFonts w:ascii="Times New Roman" w:hAnsi="Times New Roman"/>
                <w:noProof/>
                <w:position w:val="-20"/>
              </w:rPr>
              <w:drawing>
                <wp:inline distT="0" distB="0" distL="0" distR="0" wp14:anchorId="7DC85ECC" wp14:editId="7EBBB61E">
                  <wp:extent cx="512900" cy="504000"/>
                  <wp:effectExtent l="0" t="0" r="1905" b="0"/>
                  <wp:docPr id="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png"/>
                          <pic:cNvPicPr/>
                        </pic:nvPicPr>
                        <pic:blipFill>
                          <a:blip r:embed="rId42" cstate="print">
                            <a:biLevel thresh="75000"/>
                          </a:blip>
                          <a:stretch>
                            <a:fillRect/>
                          </a:stretch>
                        </pic:blipFill>
                        <pic:spPr>
                          <a:xfrm>
                            <a:off x="0" y="0"/>
                            <a:ext cx="512900" cy="504000"/>
                          </a:xfrm>
                          <a:prstGeom prst="rect">
                            <a:avLst/>
                          </a:prstGeom>
                        </pic:spPr>
                      </pic:pic>
                    </a:graphicData>
                  </a:graphic>
                </wp:inline>
              </w:drawing>
            </w:r>
          </w:p>
        </w:tc>
        <w:tc>
          <w:tcPr>
            <w:tcW w:w="999" w:type="dxa"/>
            <w:vAlign w:val="center"/>
          </w:tcPr>
          <w:p w14:paraId="40F996A3" w14:textId="68545F10" w:rsidR="004232CB" w:rsidRPr="00546AF1" w:rsidRDefault="004232CB" w:rsidP="004232CB">
            <w:pPr>
              <w:jc w:val="left"/>
              <w:rPr>
                <w:rFonts w:ascii="Times New Roman" w:hAnsi="Times New Roman"/>
                <w:b/>
                <w:bCs/>
                <w:sz w:val="52"/>
                <w:szCs w:val="52"/>
              </w:rPr>
            </w:pPr>
            <w:r w:rsidRPr="00546AF1">
              <w:rPr>
                <w:rFonts w:ascii="Times New Roman" w:hAnsi="Times New Roman"/>
                <w:b/>
                <w:bCs/>
                <w:sz w:val="52"/>
                <w:szCs w:val="52"/>
              </w:rPr>
              <w:t>42</w:t>
            </w:r>
          </w:p>
        </w:tc>
        <w:tc>
          <w:tcPr>
            <w:tcW w:w="1045" w:type="dxa"/>
            <w:vAlign w:val="center"/>
          </w:tcPr>
          <w:p w14:paraId="4214C6DB" w14:textId="07CFE8A5" w:rsidR="004232CB" w:rsidRPr="00546AF1" w:rsidRDefault="004232CB" w:rsidP="004232CB">
            <w:pPr>
              <w:jc w:val="center"/>
              <w:rPr>
                <w:rFonts w:ascii="Times New Roman" w:hAnsi="Times New Roman"/>
                <w:noProof/>
                <w:position w:val="-23"/>
              </w:rPr>
            </w:pPr>
            <w:r w:rsidRPr="00546AF1">
              <w:rPr>
                <w:rFonts w:ascii="Times New Roman" w:hAnsi="Times New Roman"/>
                <w:noProof/>
                <w:position w:val="-23"/>
              </w:rPr>
              <w:drawing>
                <wp:inline distT="0" distB="0" distL="0" distR="0" wp14:anchorId="4E1CB0C5" wp14:editId="6967A73A">
                  <wp:extent cx="526694" cy="526694"/>
                  <wp:effectExtent l="0" t="0" r="6985" b="6985"/>
                  <wp:docPr id="4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43" cstate="print">
                            <a:biLevel thresh="75000"/>
                          </a:blip>
                          <a:stretch>
                            <a:fillRect/>
                          </a:stretch>
                        </pic:blipFill>
                        <pic:spPr>
                          <a:xfrm>
                            <a:off x="0" y="0"/>
                            <a:ext cx="526694" cy="526694"/>
                          </a:xfrm>
                          <a:prstGeom prst="rect">
                            <a:avLst/>
                          </a:prstGeom>
                        </pic:spPr>
                      </pic:pic>
                    </a:graphicData>
                  </a:graphic>
                </wp:inline>
              </w:drawing>
            </w:r>
          </w:p>
        </w:tc>
        <w:tc>
          <w:tcPr>
            <w:tcW w:w="969" w:type="dxa"/>
            <w:vAlign w:val="center"/>
          </w:tcPr>
          <w:p w14:paraId="321D8FA8" w14:textId="77777777" w:rsidR="004232CB" w:rsidRPr="00546AF1" w:rsidRDefault="004232CB" w:rsidP="001E0F66">
            <w:pPr>
              <w:jc w:val="left"/>
              <w:rPr>
                <w:rFonts w:ascii="Times New Roman" w:hAnsi="Times New Roman"/>
                <w:b/>
                <w:bCs/>
                <w:sz w:val="52"/>
                <w:szCs w:val="52"/>
              </w:rPr>
            </w:pPr>
          </w:p>
        </w:tc>
        <w:tc>
          <w:tcPr>
            <w:tcW w:w="1179" w:type="dxa"/>
            <w:vAlign w:val="center"/>
          </w:tcPr>
          <w:p w14:paraId="331D008A" w14:textId="58559930" w:rsidR="004232CB" w:rsidRPr="00546AF1" w:rsidRDefault="004232CB" w:rsidP="004232CB">
            <w:pPr>
              <w:jc w:val="center"/>
              <w:rPr>
                <w:rFonts w:ascii="Times New Roman" w:hAnsi="Times New Roman"/>
              </w:rPr>
            </w:pPr>
            <w:r w:rsidRPr="00546AF1">
              <w:rPr>
                <w:rFonts w:ascii="Times New Roman" w:hAnsi="Times New Roman"/>
                <w:noProof/>
              </w:rPr>
              <w:drawing>
                <wp:inline distT="0" distB="0" distL="0" distR="0" wp14:anchorId="66E2BE65" wp14:editId="4BB85F2C">
                  <wp:extent cx="612000" cy="612000"/>
                  <wp:effectExtent l="0" t="0" r="0" b="0"/>
                  <wp:docPr id="42" name="Graphic 42" descr="Calculat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Calculator outline"/>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612000" cy="612000"/>
                          </a:xfrm>
                          <a:prstGeom prst="rect">
                            <a:avLst/>
                          </a:prstGeom>
                        </pic:spPr>
                      </pic:pic>
                    </a:graphicData>
                  </a:graphic>
                </wp:inline>
              </w:drawing>
            </w:r>
          </w:p>
        </w:tc>
        <w:tc>
          <w:tcPr>
            <w:tcW w:w="978" w:type="dxa"/>
            <w:vAlign w:val="center"/>
          </w:tcPr>
          <w:p w14:paraId="7AAA862C" w14:textId="3FF13199" w:rsidR="004232CB" w:rsidRPr="00546AF1" w:rsidRDefault="004232CB" w:rsidP="001E0F66">
            <w:pPr>
              <w:jc w:val="left"/>
              <w:rPr>
                <w:rFonts w:ascii="Times New Roman" w:hAnsi="Times New Roman"/>
                <w:b/>
                <w:bCs/>
                <w:sz w:val="52"/>
                <w:szCs w:val="52"/>
              </w:rPr>
            </w:pPr>
            <w:r w:rsidRPr="00546AF1">
              <w:rPr>
                <w:rFonts w:ascii="Times New Roman" w:hAnsi="Times New Roman"/>
                <w:b/>
                <w:bCs/>
                <w:sz w:val="52"/>
                <w:szCs w:val="52"/>
              </w:rPr>
              <w:t>1M</w:t>
            </w:r>
          </w:p>
        </w:tc>
      </w:tr>
      <w:tr w:rsidR="001E0F66" w:rsidRPr="00546AF1" w14:paraId="3EA4833F" w14:textId="77777777" w:rsidTr="005E4078">
        <w:tc>
          <w:tcPr>
            <w:tcW w:w="2135" w:type="dxa"/>
            <w:gridSpan w:val="2"/>
          </w:tcPr>
          <w:p w14:paraId="3D73CF7A" w14:textId="466A533D" w:rsidR="004232CB" w:rsidRPr="00546AF1" w:rsidRDefault="004232CB" w:rsidP="00F0013E">
            <w:pPr>
              <w:spacing w:before="120"/>
              <w:jc w:val="center"/>
              <w:rPr>
                <w:rFonts w:ascii="Times New Roman" w:hAnsi="Times New Roman"/>
                <w:sz w:val="18"/>
                <w:szCs w:val="22"/>
              </w:rPr>
            </w:pPr>
            <w:r w:rsidRPr="00546AF1">
              <w:rPr>
                <w:rFonts w:ascii="Times New Roman" w:hAnsi="Times New Roman"/>
                <w:sz w:val="18"/>
                <w:szCs w:val="22"/>
              </w:rPr>
              <w:t>Enquiries from non- designated persons (members of the public)</w:t>
            </w:r>
          </w:p>
        </w:tc>
        <w:tc>
          <w:tcPr>
            <w:tcW w:w="2091" w:type="dxa"/>
            <w:gridSpan w:val="2"/>
          </w:tcPr>
          <w:p w14:paraId="1EEB4B7F" w14:textId="1855407B" w:rsidR="004232CB" w:rsidRPr="00546AF1" w:rsidRDefault="004232CB" w:rsidP="00F0013E">
            <w:pPr>
              <w:spacing w:before="120"/>
              <w:jc w:val="center"/>
              <w:rPr>
                <w:rFonts w:ascii="Times New Roman" w:hAnsi="Times New Roman"/>
                <w:sz w:val="18"/>
                <w:szCs w:val="22"/>
              </w:rPr>
            </w:pPr>
            <w:r w:rsidRPr="00546AF1">
              <w:rPr>
                <w:rFonts w:ascii="Times New Roman" w:hAnsi="Times New Roman"/>
                <w:sz w:val="18"/>
                <w:szCs w:val="22"/>
              </w:rPr>
              <w:t>Media enquiries</w:t>
            </w:r>
          </w:p>
        </w:tc>
        <w:tc>
          <w:tcPr>
            <w:tcW w:w="2014" w:type="dxa"/>
            <w:gridSpan w:val="2"/>
          </w:tcPr>
          <w:p w14:paraId="52608D6B" w14:textId="77777777" w:rsidR="004232CB" w:rsidRPr="00546AF1" w:rsidRDefault="004232CB" w:rsidP="00F0013E">
            <w:pPr>
              <w:spacing w:before="120"/>
              <w:jc w:val="center"/>
              <w:rPr>
                <w:rFonts w:ascii="Times New Roman" w:hAnsi="Times New Roman"/>
                <w:sz w:val="18"/>
                <w:szCs w:val="22"/>
              </w:rPr>
            </w:pPr>
            <w:r w:rsidRPr="00546AF1">
              <w:rPr>
                <w:rFonts w:ascii="Times New Roman" w:hAnsi="Times New Roman"/>
                <w:sz w:val="18"/>
                <w:szCs w:val="22"/>
              </w:rPr>
              <w:t>Commissioner 1 FTE</w:t>
            </w:r>
          </w:p>
          <w:p w14:paraId="43BC0840" w14:textId="63981690" w:rsidR="004232CB" w:rsidRPr="00546AF1" w:rsidRDefault="004232CB" w:rsidP="00F0013E">
            <w:pPr>
              <w:spacing w:before="120"/>
              <w:jc w:val="center"/>
              <w:rPr>
                <w:rFonts w:ascii="Times New Roman" w:hAnsi="Times New Roman"/>
                <w:sz w:val="18"/>
                <w:szCs w:val="22"/>
              </w:rPr>
            </w:pPr>
            <w:r w:rsidRPr="00546AF1">
              <w:rPr>
                <w:rFonts w:ascii="Times New Roman" w:hAnsi="Times New Roman"/>
                <w:sz w:val="18"/>
                <w:szCs w:val="22"/>
              </w:rPr>
              <w:t xml:space="preserve">Permanent Staff </w:t>
            </w:r>
            <w:r w:rsidR="001E0F66" w:rsidRPr="00546AF1">
              <w:rPr>
                <w:rFonts w:ascii="Times New Roman" w:hAnsi="Times New Roman"/>
                <w:sz w:val="18"/>
                <w:szCs w:val="22"/>
              </w:rPr>
              <w:t>4</w:t>
            </w:r>
            <w:r w:rsidRPr="00546AF1">
              <w:rPr>
                <w:rFonts w:ascii="Times New Roman" w:hAnsi="Times New Roman"/>
                <w:sz w:val="18"/>
                <w:szCs w:val="22"/>
              </w:rPr>
              <w:t xml:space="preserve"> FTE</w:t>
            </w:r>
          </w:p>
        </w:tc>
        <w:tc>
          <w:tcPr>
            <w:tcW w:w="2157" w:type="dxa"/>
            <w:gridSpan w:val="2"/>
          </w:tcPr>
          <w:p w14:paraId="5A991573" w14:textId="1127D696" w:rsidR="004232CB" w:rsidRPr="00546AF1" w:rsidRDefault="004232CB" w:rsidP="00F0013E">
            <w:pPr>
              <w:spacing w:before="120"/>
              <w:jc w:val="center"/>
              <w:rPr>
                <w:rFonts w:ascii="Times New Roman" w:hAnsi="Times New Roman"/>
                <w:sz w:val="18"/>
                <w:szCs w:val="22"/>
              </w:rPr>
            </w:pPr>
            <w:r w:rsidRPr="00546AF1">
              <w:rPr>
                <w:rFonts w:ascii="Times New Roman" w:hAnsi="Times New Roman"/>
                <w:sz w:val="18"/>
                <w:szCs w:val="22"/>
              </w:rPr>
              <w:t>Original budget $1.087M</w:t>
            </w:r>
          </w:p>
          <w:p w14:paraId="1F95532C" w14:textId="79244C86" w:rsidR="004232CB" w:rsidRPr="00546AF1" w:rsidRDefault="004232CB" w:rsidP="00F0013E">
            <w:pPr>
              <w:spacing w:before="120"/>
              <w:jc w:val="center"/>
              <w:rPr>
                <w:rFonts w:ascii="Times New Roman" w:hAnsi="Times New Roman"/>
                <w:sz w:val="18"/>
                <w:szCs w:val="22"/>
              </w:rPr>
            </w:pPr>
            <w:r w:rsidRPr="00546AF1">
              <w:rPr>
                <w:rFonts w:ascii="Times New Roman" w:hAnsi="Times New Roman"/>
                <w:sz w:val="18"/>
                <w:szCs w:val="22"/>
              </w:rPr>
              <w:t>Actual budget $1.029M</w:t>
            </w:r>
          </w:p>
        </w:tc>
      </w:tr>
    </w:tbl>
    <w:p w14:paraId="48A048A5" w14:textId="70740965" w:rsidR="005E4078" w:rsidRDefault="005E4078" w:rsidP="00F0013E">
      <w:pPr>
        <w:jc w:val="center"/>
        <w:rPr>
          <w:rFonts w:ascii="Times New Roman" w:hAnsi="Times New Roman"/>
        </w:rPr>
      </w:pPr>
    </w:p>
    <w:p w14:paraId="2E995EE7" w14:textId="2F825E89" w:rsidR="002525AD" w:rsidRDefault="002525AD" w:rsidP="00F0013E">
      <w:pPr>
        <w:jc w:val="center"/>
        <w:rPr>
          <w:rFonts w:ascii="Times New Roman" w:hAnsi="Times New Roman"/>
        </w:rPr>
      </w:pPr>
      <w:r>
        <w:rPr>
          <w:rFonts w:ascii="Times New Roman" w:hAnsi="Times New Roman"/>
        </w:rPr>
        <w:br w:type="page"/>
      </w:r>
    </w:p>
    <w:p w14:paraId="4D7A6D87" w14:textId="12CF281F" w:rsidR="0037081A" w:rsidRDefault="00236E74" w:rsidP="007C149C">
      <w:pPr>
        <w:pStyle w:val="Heading2"/>
      </w:pPr>
      <w:bookmarkStart w:id="37" w:name="_Toc83044367"/>
      <w:bookmarkStart w:id="38" w:name="_Toc83822848"/>
      <w:r>
        <w:lastRenderedPageBreak/>
        <w:t xml:space="preserve">7. </w:t>
      </w:r>
      <w:r w:rsidR="00851439" w:rsidRPr="00546AF1">
        <w:t>Advice on e</w:t>
      </w:r>
      <w:r w:rsidR="00D606DE" w:rsidRPr="00546AF1">
        <w:t>thics, integrity, and interest</w:t>
      </w:r>
      <w:bookmarkEnd w:id="37"/>
      <w:r w:rsidR="00851439" w:rsidRPr="00546AF1">
        <w:t xml:space="preserve"> issues</w:t>
      </w:r>
      <w:bookmarkEnd w:id="38"/>
      <w:r w:rsidR="00851439" w:rsidRPr="00546AF1">
        <w:t xml:space="preserve"> </w:t>
      </w:r>
    </w:p>
    <w:p w14:paraId="3042EC0E" w14:textId="77777777" w:rsidR="00DA6287" w:rsidRPr="002525AD" w:rsidRDefault="00DA6287" w:rsidP="00710D72">
      <w:pPr>
        <w:pStyle w:val="BodyText"/>
        <w:spacing w:before="0" w:after="0"/>
        <w:rPr>
          <w:rFonts w:ascii="Times New Roman" w:hAnsi="Times New Roman" w:cstheme="minorHAnsi"/>
          <w:szCs w:val="20"/>
        </w:rPr>
      </w:pPr>
    </w:p>
    <w:p w14:paraId="7433F7E6" w14:textId="7EF5BD5F" w:rsidR="00F43233" w:rsidRPr="00510440" w:rsidRDefault="00F43233" w:rsidP="00EB6567">
      <w:pPr>
        <w:pStyle w:val="Style1"/>
      </w:pPr>
      <w:r w:rsidRPr="00510440">
        <w:t xml:space="preserve">This section deals with the advice functions of the </w:t>
      </w:r>
      <w:r w:rsidR="008C27A4" w:rsidRPr="00510440">
        <w:t>QIC</w:t>
      </w:r>
      <w:r w:rsidR="00457B9E" w:rsidRPr="00510440">
        <w:t xml:space="preserve"> </w:t>
      </w:r>
      <w:r w:rsidRPr="00510440">
        <w:t xml:space="preserve">as set out in </w:t>
      </w:r>
      <w:r w:rsidR="00310385" w:rsidRPr="00510440">
        <w:t>‘</w:t>
      </w:r>
      <w:r w:rsidR="009B4C3F" w:rsidRPr="00510440">
        <w:t>C</w:t>
      </w:r>
      <w:r w:rsidRPr="00510440">
        <w:t xml:space="preserve">hapter 3 </w:t>
      </w:r>
      <w:r w:rsidR="00310385" w:rsidRPr="00510440">
        <w:t xml:space="preserve">Advice on ethics </w:t>
      </w:r>
      <w:r w:rsidR="00F461E8" w:rsidRPr="00510440">
        <w:t>or integrity issues’ and ‘Chapter 3A Managing conflicts of interes</w:t>
      </w:r>
      <w:r w:rsidR="009841E8" w:rsidRPr="00510440">
        <w:t xml:space="preserve">t’ </w:t>
      </w:r>
      <w:r w:rsidRPr="00510440">
        <w:t xml:space="preserve">of the </w:t>
      </w:r>
      <w:r w:rsidR="0006361A" w:rsidRPr="00510440">
        <w:t xml:space="preserve">Act. </w:t>
      </w:r>
      <w:r w:rsidRPr="00510440">
        <w:t xml:space="preserve">In this regard, sections 7(1)(a) and 7(1)(b) of the Act detail these functions. </w:t>
      </w:r>
    </w:p>
    <w:p w14:paraId="235CF86A" w14:textId="77777777" w:rsidR="00C762C3" w:rsidRPr="00510440" w:rsidRDefault="00C762C3" w:rsidP="00BE4B1E">
      <w:pPr>
        <w:rPr>
          <w:rFonts w:ascii="Times New Roman" w:hAnsi="Times New Roman"/>
          <w:szCs w:val="22"/>
        </w:rPr>
      </w:pPr>
    </w:p>
    <w:p w14:paraId="1183FB36" w14:textId="47E93871" w:rsidR="009122B3" w:rsidRDefault="00C72126" w:rsidP="00EB6567">
      <w:pPr>
        <w:pStyle w:val="Style1"/>
      </w:pPr>
      <w:r w:rsidRPr="00510440">
        <w:t>More than 10,000 people fall under the advice section of the Act. That is, the</w:t>
      </w:r>
      <w:r w:rsidR="008F2D74" w:rsidRPr="00510440">
        <w:t>y</w:t>
      </w:r>
      <w:r w:rsidR="001E5398" w:rsidRPr="00510440">
        <w:t xml:space="preserve"> fall within the meaning of </w:t>
      </w:r>
      <w:r w:rsidRPr="00510440">
        <w:t>‘designated person’</w:t>
      </w:r>
      <w:r w:rsidR="001E5398" w:rsidRPr="00510440">
        <w:t xml:space="preserve"> under section 12 of the Act</w:t>
      </w:r>
      <w:r w:rsidR="009122B3">
        <w:t xml:space="preserve">, and include: </w:t>
      </w:r>
    </w:p>
    <w:p w14:paraId="4B827B2A" w14:textId="09244DAD" w:rsidR="009122B3" w:rsidRDefault="00B6258B" w:rsidP="00EB6567">
      <w:pPr>
        <w:pStyle w:val="Style1"/>
        <w:numPr>
          <w:ilvl w:val="0"/>
          <w:numId w:val="41"/>
        </w:numPr>
      </w:pPr>
      <w:r>
        <w:t xml:space="preserve">a </w:t>
      </w:r>
      <w:r w:rsidR="009122B3">
        <w:t>Member</w:t>
      </w:r>
      <w:r>
        <w:t xml:space="preserve"> </w:t>
      </w:r>
      <w:r w:rsidR="009122B3">
        <w:t>of the Legislative Assembly</w:t>
      </w:r>
    </w:p>
    <w:p w14:paraId="364CC89E" w14:textId="4902BD48" w:rsidR="009122B3" w:rsidRDefault="00B6258B" w:rsidP="00EB6567">
      <w:pPr>
        <w:pStyle w:val="Style1"/>
        <w:numPr>
          <w:ilvl w:val="0"/>
          <w:numId w:val="41"/>
        </w:numPr>
      </w:pPr>
      <w:r>
        <w:t>a s</w:t>
      </w:r>
      <w:r w:rsidR="009122B3">
        <w:t>tatutory office holder</w:t>
      </w:r>
    </w:p>
    <w:p w14:paraId="3AB92C9E" w14:textId="200FE447" w:rsidR="009122B3" w:rsidRDefault="00B6258B" w:rsidP="00EB6567">
      <w:pPr>
        <w:pStyle w:val="Style1"/>
        <w:numPr>
          <w:ilvl w:val="0"/>
          <w:numId w:val="41"/>
        </w:numPr>
      </w:pPr>
      <w:r>
        <w:t>a</w:t>
      </w:r>
      <w:r w:rsidR="009122B3">
        <w:t xml:space="preserve"> chief executive of a department of government or public service office</w:t>
      </w:r>
    </w:p>
    <w:p w14:paraId="6CF16D5B" w14:textId="63D5ACA6" w:rsidR="009122B3" w:rsidRDefault="00B6258B" w:rsidP="00EB6567">
      <w:pPr>
        <w:pStyle w:val="Style1"/>
        <w:numPr>
          <w:ilvl w:val="0"/>
          <w:numId w:val="41"/>
        </w:numPr>
      </w:pPr>
      <w:r>
        <w:t xml:space="preserve">a </w:t>
      </w:r>
      <w:r w:rsidR="009122B3">
        <w:t xml:space="preserve">senior executive or senior officer </w:t>
      </w:r>
    </w:p>
    <w:p w14:paraId="04FD3299" w14:textId="1C0EFC54" w:rsidR="009122B3" w:rsidRDefault="007E5041" w:rsidP="00EB6567">
      <w:pPr>
        <w:pStyle w:val="Style1"/>
        <w:numPr>
          <w:ilvl w:val="0"/>
          <w:numId w:val="41"/>
        </w:numPr>
      </w:pPr>
      <w:r>
        <w:t>a</w:t>
      </w:r>
      <w:r w:rsidR="009122B3">
        <w:t xml:space="preserve"> chief executive of, or senior officer equivalent employed in, a government entity nominated by the Minister responsible for administering the entity</w:t>
      </w:r>
    </w:p>
    <w:p w14:paraId="008AD8D9" w14:textId="52B74409" w:rsidR="009122B3" w:rsidRDefault="007E5041" w:rsidP="00EB6567">
      <w:pPr>
        <w:pStyle w:val="Style1"/>
        <w:numPr>
          <w:ilvl w:val="0"/>
          <w:numId w:val="41"/>
        </w:numPr>
      </w:pPr>
      <w:r>
        <w:t>a</w:t>
      </w:r>
      <w:r w:rsidR="009122B3">
        <w:t xml:space="preserve"> ministerial staff member who gives, or a person engaged to give, advice to a Minister</w:t>
      </w:r>
    </w:p>
    <w:p w14:paraId="69ADB853" w14:textId="6F87FD6E" w:rsidR="009122B3" w:rsidRDefault="007E5041" w:rsidP="00EB6567">
      <w:pPr>
        <w:pStyle w:val="Style1"/>
        <w:numPr>
          <w:ilvl w:val="0"/>
          <w:numId w:val="41"/>
        </w:numPr>
      </w:pPr>
      <w:r>
        <w:t>a</w:t>
      </w:r>
      <w:r w:rsidR="009122B3">
        <w:t>n assistant minister staff member who gives, or a person engaged to give, advice to an Assistant Minister</w:t>
      </w:r>
    </w:p>
    <w:p w14:paraId="48852A89" w14:textId="757D5F81" w:rsidR="009122B3" w:rsidRDefault="007E5041" w:rsidP="00EB6567">
      <w:pPr>
        <w:pStyle w:val="Style1"/>
        <w:numPr>
          <w:ilvl w:val="0"/>
          <w:numId w:val="41"/>
        </w:numPr>
        <w:rPr>
          <w:rFonts w:ascii="Calibri Light" w:hAnsi="Calibri Light" w:cs="Calibri Light"/>
          <w:color w:val="000000"/>
          <w:sz w:val="22"/>
          <w:szCs w:val="22"/>
          <w:lang w:val="en-US"/>
        </w:rPr>
      </w:pPr>
      <w:r>
        <w:t>a</w:t>
      </w:r>
      <w:r w:rsidR="009122B3">
        <w:t xml:space="preserve"> person, or </w:t>
      </w:r>
      <w:r w:rsidR="005E021D">
        <w:t xml:space="preserve">a person within a </w:t>
      </w:r>
      <w:r w:rsidR="009122B3">
        <w:t xml:space="preserve">class of person, nominated by a Minister or Assistant Minister. </w:t>
      </w:r>
    </w:p>
    <w:p w14:paraId="015B321B" w14:textId="77777777" w:rsidR="009122B3" w:rsidRDefault="009122B3" w:rsidP="00EB6567">
      <w:pPr>
        <w:pStyle w:val="Style1"/>
      </w:pPr>
    </w:p>
    <w:p w14:paraId="416EA21F" w14:textId="73100B1D" w:rsidR="00C72126" w:rsidRDefault="002276A6" w:rsidP="00EB6567">
      <w:pPr>
        <w:pStyle w:val="Style1"/>
      </w:pPr>
      <w:r w:rsidRPr="00510440">
        <w:t xml:space="preserve">While </w:t>
      </w:r>
      <w:r w:rsidR="007E4E70" w:rsidRPr="00510440">
        <w:t>the actual number is not known, as the QIC</w:t>
      </w:r>
      <w:r w:rsidRPr="00510440">
        <w:t>’s</w:t>
      </w:r>
      <w:r w:rsidR="007E4E70" w:rsidRPr="00510440">
        <w:t xml:space="preserve"> jurisdiction has expanded</w:t>
      </w:r>
      <w:r w:rsidRPr="00510440">
        <w:t xml:space="preserve">, </w:t>
      </w:r>
      <w:r w:rsidR="005F2C47" w:rsidRPr="00510440">
        <w:t>so too has the number of potential advisees</w:t>
      </w:r>
      <w:r w:rsidR="005F2C47">
        <w:t>. For example</w:t>
      </w:r>
      <w:r w:rsidR="005E1A81">
        <w:t xml:space="preserve">, </w:t>
      </w:r>
      <w:r w:rsidR="005F2C47">
        <w:t xml:space="preserve">recent </w:t>
      </w:r>
      <w:r w:rsidR="005E1A81">
        <w:t xml:space="preserve">amendments to the Act have extended </w:t>
      </w:r>
      <w:r w:rsidRPr="00510440">
        <w:t xml:space="preserve">the advice functions to all former designated persons for a period of two years on </w:t>
      </w:r>
      <w:r w:rsidR="00911A8F">
        <w:t>ceas</w:t>
      </w:r>
      <w:r w:rsidR="00CE6F79">
        <w:t>i</w:t>
      </w:r>
      <w:r w:rsidR="00911A8F">
        <w:t xml:space="preserve">ng to be </w:t>
      </w:r>
      <w:r w:rsidR="00CE6F79">
        <w:t xml:space="preserve">a </w:t>
      </w:r>
      <w:r w:rsidR="00CE6F79" w:rsidRPr="00510440">
        <w:t>‘designated person’</w:t>
      </w:r>
      <w:r w:rsidR="001E38FB">
        <w:t xml:space="preserve"> (section 20A)</w:t>
      </w:r>
      <w:r w:rsidR="00CE6F79">
        <w:t>.</w:t>
      </w:r>
      <w:r w:rsidR="008F2D74">
        <w:t xml:space="preserve"> </w:t>
      </w:r>
    </w:p>
    <w:p w14:paraId="741373BF" w14:textId="77777777" w:rsidR="00C72126" w:rsidRDefault="00C72126" w:rsidP="00EB6567">
      <w:pPr>
        <w:pStyle w:val="Style1"/>
      </w:pPr>
    </w:p>
    <w:p w14:paraId="3B1E5458" w14:textId="70F202EC" w:rsidR="00F76BE7" w:rsidRPr="00546AF1" w:rsidRDefault="005D3EC2" w:rsidP="00EB6567">
      <w:pPr>
        <w:pStyle w:val="Style1"/>
      </w:pPr>
      <w:r w:rsidRPr="00546AF1">
        <w:t xml:space="preserve">In providing advice, the </w:t>
      </w:r>
      <w:r w:rsidR="008C27A4" w:rsidRPr="00546AF1">
        <w:t>QIC</w:t>
      </w:r>
      <w:r w:rsidR="00457B9E" w:rsidRPr="00546AF1">
        <w:t xml:space="preserve"> </w:t>
      </w:r>
      <w:r w:rsidRPr="00546AF1">
        <w:t xml:space="preserve">is obliged to consider any standards or codes that are relevant. The range of such materials is diverse and prone to amendments and updates. Keeping abreast of changes </w:t>
      </w:r>
      <w:r w:rsidR="008E1526">
        <w:t xml:space="preserve">to the relevant standards and codes </w:t>
      </w:r>
      <w:r w:rsidRPr="00546AF1">
        <w:t xml:space="preserve">is a time consuming </w:t>
      </w:r>
      <w:r w:rsidR="00F76BE7" w:rsidRPr="00546AF1">
        <w:t xml:space="preserve">but necessary </w:t>
      </w:r>
      <w:r w:rsidR="008E1526">
        <w:t>activity</w:t>
      </w:r>
      <w:r w:rsidRPr="00546AF1">
        <w:t xml:space="preserve">. </w:t>
      </w:r>
    </w:p>
    <w:p w14:paraId="4C270BBB" w14:textId="77777777" w:rsidR="00F76BE7" w:rsidRPr="00546AF1" w:rsidRDefault="00F76BE7" w:rsidP="00EB6567">
      <w:pPr>
        <w:pStyle w:val="Style1"/>
      </w:pPr>
    </w:p>
    <w:p w14:paraId="10EAA419" w14:textId="5C79231D" w:rsidR="00566D8E" w:rsidRPr="00546AF1" w:rsidRDefault="005D3EC2" w:rsidP="00EB6567">
      <w:pPr>
        <w:pStyle w:val="Style1"/>
      </w:pPr>
      <w:r w:rsidRPr="00546AF1">
        <w:t xml:space="preserve">To maintain a high quality of </w:t>
      </w:r>
      <w:r w:rsidR="008E1526">
        <w:t>service</w:t>
      </w:r>
      <w:r w:rsidRPr="00546AF1">
        <w:t xml:space="preserve">, including consistency </w:t>
      </w:r>
      <w:r w:rsidR="008E1526">
        <w:t xml:space="preserve">of advice relating to </w:t>
      </w:r>
      <w:r w:rsidRPr="00546AF1">
        <w:t>standards</w:t>
      </w:r>
      <w:r w:rsidR="008E1526">
        <w:t xml:space="preserve"> and codes</w:t>
      </w:r>
      <w:r w:rsidRPr="00546AF1">
        <w:t xml:space="preserve">, the </w:t>
      </w:r>
      <w:r w:rsidR="008C27A4" w:rsidRPr="00546AF1">
        <w:t>QIC</w:t>
      </w:r>
      <w:r w:rsidR="00457B9E" w:rsidRPr="00546AF1">
        <w:t xml:space="preserve"> </w:t>
      </w:r>
      <w:r w:rsidRPr="00546AF1">
        <w:t xml:space="preserve">routinely </w:t>
      </w:r>
      <w:r w:rsidR="008D4004" w:rsidRPr="00546AF1">
        <w:t>undertake</w:t>
      </w:r>
      <w:r w:rsidR="008E1526">
        <w:t>s</w:t>
      </w:r>
      <w:r w:rsidR="008D4004" w:rsidRPr="00546AF1">
        <w:t xml:space="preserve"> research into </w:t>
      </w:r>
      <w:proofErr w:type="gramStart"/>
      <w:r w:rsidR="008D4004" w:rsidRPr="00546AF1">
        <w:t>particular areas</w:t>
      </w:r>
      <w:proofErr w:type="gramEnd"/>
      <w:r w:rsidR="008D4004" w:rsidRPr="00546AF1">
        <w:t xml:space="preserve"> of </w:t>
      </w:r>
      <w:r w:rsidR="008E1526">
        <w:t xml:space="preserve">best </w:t>
      </w:r>
      <w:r w:rsidR="009101DB" w:rsidRPr="00546AF1">
        <w:t>practice</w:t>
      </w:r>
      <w:r w:rsidR="003F2186" w:rsidRPr="00546AF1">
        <w:t xml:space="preserve">; </w:t>
      </w:r>
      <w:r w:rsidRPr="00546AF1">
        <w:t xml:space="preserve">develops </w:t>
      </w:r>
      <w:r w:rsidR="008E1526">
        <w:t xml:space="preserve">and updates </w:t>
      </w:r>
      <w:r w:rsidRPr="00546AF1">
        <w:t>materials that set out the process</w:t>
      </w:r>
      <w:r w:rsidR="009101DB" w:rsidRPr="00546AF1">
        <w:t>, tests</w:t>
      </w:r>
      <w:r w:rsidRPr="00546AF1">
        <w:t xml:space="preserve"> and factors </w:t>
      </w:r>
      <w:r w:rsidR="008E1526" w:rsidRPr="00546AF1">
        <w:t>relie</w:t>
      </w:r>
      <w:r w:rsidR="008E1526">
        <w:t>d</w:t>
      </w:r>
      <w:r w:rsidR="008E1526" w:rsidRPr="00546AF1">
        <w:t xml:space="preserve"> </w:t>
      </w:r>
      <w:r w:rsidRPr="00546AF1">
        <w:t>on when providing advice</w:t>
      </w:r>
      <w:r w:rsidR="003F2186" w:rsidRPr="00546AF1">
        <w:t>;</w:t>
      </w:r>
      <w:r w:rsidRPr="00546AF1">
        <w:t xml:space="preserve"> and publishes these materials on the website of the Queensland Integrity Commissioner. </w:t>
      </w:r>
    </w:p>
    <w:p w14:paraId="43E8847F" w14:textId="77777777" w:rsidR="00566D8E" w:rsidRPr="00546AF1" w:rsidRDefault="00566D8E" w:rsidP="00EB6567">
      <w:pPr>
        <w:pStyle w:val="Style1"/>
      </w:pPr>
    </w:p>
    <w:p w14:paraId="3BB69873" w14:textId="51A8E5C0" w:rsidR="005D3EC2" w:rsidRPr="00546AF1" w:rsidRDefault="005D3EC2" w:rsidP="00EB6567">
      <w:pPr>
        <w:pStyle w:val="Style1"/>
      </w:pPr>
      <w:r w:rsidRPr="00546AF1">
        <w:t xml:space="preserve">This approach serves to enhance trust in public officials and public </w:t>
      </w:r>
      <w:r w:rsidR="008E1526">
        <w:t xml:space="preserve">authorities </w:t>
      </w:r>
      <w:r w:rsidRPr="00546AF1">
        <w:t xml:space="preserve">by ensuring that standards </w:t>
      </w:r>
      <w:r w:rsidR="008E1526">
        <w:t xml:space="preserve">and codes </w:t>
      </w:r>
      <w:r w:rsidRPr="00546AF1">
        <w:t xml:space="preserve">are known and applied universally and aims to reduce any public perceptions of unfairness, discrimination, </w:t>
      </w:r>
      <w:proofErr w:type="gramStart"/>
      <w:r w:rsidRPr="00546AF1">
        <w:t>favouritism</w:t>
      </w:r>
      <w:proofErr w:type="gramEnd"/>
      <w:r w:rsidRPr="00546AF1">
        <w:t xml:space="preserve"> </w:t>
      </w:r>
      <w:r w:rsidR="00566D8E" w:rsidRPr="00546AF1">
        <w:t xml:space="preserve">or </w:t>
      </w:r>
      <w:r w:rsidRPr="00546AF1">
        <w:t xml:space="preserve">bias. </w:t>
      </w:r>
      <w:r w:rsidR="00226B55" w:rsidRPr="00546AF1">
        <w:t xml:space="preserve">The materials also serve as a useful point of reference for advisees </w:t>
      </w:r>
      <w:proofErr w:type="gramStart"/>
      <w:r w:rsidR="00226B55" w:rsidRPr="00546AF1">
        <w:t>in the event that</w:t>
      </w:r>
      <w:proofErr w:type="gramEnd"/>
      <w:r w:rsidR="00226B55" w:rsidRPr="00546AF1">
        <w:t xml:space="preserve"> they wish to understand more about </w:t>
      </w:r>
      <w:r w:rsidR="004E1908" w:rsidRPr="00546AF1">
        <w:t xml:space="preserve">best practice standards. </w:t>
      </w:r>
    </w:p>
    <w:p w14:paraId="04F37601" w14:textId="77777777" w:rsidR="005D3EC2" w:rsidRPr="00546AF1" w:rsidRDefault="005D3EC2" w:rsidP="00EB6567">
      <w:pPr>
        <w:pStyle w:val="Style1"/>
      </w:pPr>
    </w:p>
    <w:p w14:paraId="107EF823" w14:textId="5782D0F6" w:rsidR="00ED00C0" w:rsidRPr="00546AF1" w:rsidRDefault="00ED00C0" w:rsidP="00EB6567">
      <w:pPr>
        <w:pStyle w:val="Style1"/>
      </w:pPr>
      <w:r w:rsidRPr="00546AF1">
        <w:t xml:space="preserve">When providing advice, the </w:t>
      </w:r>
      <w:r w:rsidR="008E1526">
        <w:t>QIC</w:t>
      </w:r>
      <w:r w:rsidR="008E1526" w:rsidRPr="00546AF1">
        <w:t xml:space="preserve"> </w:t>
      </w:r>
      <w:r w:rsidRPr="00546AF1">
        <w:t xml:space="preserve">may do so under </w:t>
      </w:r>
      <w:r w:rsidR="00012492" w:rsidRPr="00546AF1">
        <w:t xml:space="preserve">two discrete </w:t>
      </w:r>
      <w:r w:rsidRPr="00546AF1">
        <w:t>sections of the Act</w:t>
      </w:r>
      <w:r w:rsidR="00012492" w:rsidRPr="00546AF1">
        <w:t>:</w:t>
      </w:r>
      <w:r w:rsidRPr="00546AF1">
        <w:t xml:space="preserve"> Chapter 3, Part 2</w:t>
      </w:r>
      <w:r w:rsidR="00012492" w:rsidRPr="00546AF1">
        <w:t>;</w:t>
      </w:r>
      <w:r w:rsidRPr="00546AF1">
        <w:t xml:space="preserve"> and Chapter 3, Part 3. </w:t>
      </w:r>
    </w:p>
    <w:p w14:paraId="3CD68568" w14:textId="77777777" w:rsidR="00ED00C0" w:rsidRPr="00546AF1" w:rsidRDefault="00ED00C0" w:rsidP="00EB6567">
      <w:pPr>
        <w:pStyle w:val="Style1"/>
      </w:pPr>
    </w:p>
    <w:p w14:paraId="358F038A" w14:textId="509761E1" w:rsidR="00003AAD" w:rsidRPr="00510440" w:rsidRDefault="00003AAD" w:rsidP="00EB6567">
      <w:pPr>
        <w:pStyle w:val="Style1"/>
      </w:pPr>
      <w:r w:rsidRPr="00510440">
        <w:t>Under</w:t>
      </w:r>
      <w:r w:rsidR="00812512" w:rsidRPr="00510440">
        <w:t xml:space="preserve"> </w:t>
      </w:r>
      <w:r w:rsidR="00C95500" w:rsidRPr="00510440">
        <w:t>C</w:t>
      </w:r>
      <w:r w:rsidR="00812512" w:rsidRPr="00510440">
        <w:t xml:space="preserve">hapter 3, </w:t>
      </w:r>
      <w:r w:rsidR="00C95500" w:rsidRPr="00510440">
        <w:t>P</w:t>
      </w:r>
      <w:r w:rsidR="00812512" w:rsidRPr="00510440">
        <w:t xml:space="preserve">art 2 of the </w:t>
      </w:r>
      <w:r w:rsidRPr="00510440">
        <w:t xml:space="preserve">Act the </w:t>
      </w:r>
      <w:r w:rsidR="008C27A4" w:rsidRPr="00510440">
        <w:t>QIC</w:t>
      </w:r>
      <w:r w:rsidR="00457B9E" w:rsidRPr="00510440">
        <w:t xml:space="preserve"> </w:t>
      </w:r>
      <w:r w:rsidRPr="00510440">
        <w:t xml:space="preserve">provides formal </w:t>
      </w:r>
      <w:r w:rsidR="004029B1" w:rsidRPr="00510440">
        <w:t xml:space="preserve">written </w:t>
      </w:r>
      <w:r w:rsidRPr="00510440">
        <w:t xml:space="preserve">advice to current or former </w:t>
      </w:r>
      <w:r w:rsidR="004D1E2B" w:rsidRPr="00510440">
        <w:t>‘</w:t>
      </w:r>
      <w:r w:rsidRPr="00510440">
        <w:t>designated persons</w:t>
      </w:r>
      <w:r w:rsidR="004D1E2B" w:rsidRPr="00510440">
        <w:t>’</w:t>
      </w:r>
      <w:r w:rsidRPr="00510440">
        <w:t xml:space="preserve"> on ethics or integrity issues</w:t>
      </w:r>
      <w:r w:rsidR="00812512" w:rsidRPr="00510440">
        <w:t xml:space="preserve">. </w:t>
      </w:r>
    </w:p>
    <w:p w14:paraId="2B2AF0D8" w14:textId="77777777" w:rsidR="0098517A" w:rsidRPr="00510440" w:rsidRDefault="0098517A" w:rsidP="00EB6567">
      <w:pPr>
        <w:pStyle w:val="Style1"/>
      </w:pPr>
    </w:p>
    <w:p w14:paraId="4A87A03F" w14:textId="1093965A" w:rsidR="00003AAD" w:rsidRPr="00510440" w:rsidRDefault="00003AAD" w:rsidP="00EB6567">
      <w:pPr>
        <w:pStyle w:val="Style1"/>
      </w:pPr>
      <w:r w:rsidRPr="00510440">
        <w:t xml:space="preserve">The statutory processes to follow for requests </w:t>
      </w:r>
      <w:r w:rsidR="00812512" w:rsidRPr="00510440">
        <w:t xml:space="preserve">for advice </w:t>
      </w:r>
      <w:r w:rsidR="00080866" w:rsidRPr="00510440">
        <w:t xml:space="preserve">is </w:t>
      </w:r>
      <w:r w:rsidR="0098517A" w:rsidRPr="00510440">
        <w:t>detailed</w:t>
      </w:r>
      <w:r w:rsidR="00080866" w:rsidRPr="00510440">
        <w:t xml:space="preserve"> in section </w:t>
      </w:r>
      <w:r w:rsidR="00A760E2" w:rsidRPr="00510440">
        <w:t xml:space="preserve">15 </w:t>
      </w:r>
      <w:r w:rsidR="0098517A" w:rsidRPr="00510440">
        <w:t xml:space="preserve">of the Act </w:t>
      </w:r>
      <w:r w:rsidR="00A760E2" w:rsidRPr="00510440">
        <w:t xml:space="preserve">and includes </w:t>
      </w:r>
      <w:r w:rsidRPr="00510440">
        <w:t xml:space="preserve">that the request must be received in writing. Further, </w:t>
      </w:r>
      <w:r w:rsidR="00A760E2" w:rsidRPr="00510440">
        <w:t xml:space="preserve">section 21 </w:t>
      </w:r>
      <w:r w:rsidR="008E1526" w:rsidRPr="00510440">
        <w:t xml:space="preserve">of the Act obliges </w:t>
      </w:r>
      <w:r w:rsidR="00A760E2" w:rsidRPr="00510440">
        <w:t xml:space="preserve">the </w:t>
      </w:r>
      <w:r w:rsidR="008C27A4" w:rsidRPr="00510440">
        <w:t>QIC</w:t>
      </w:r>
      <w:r w:rsidR="00457B9E" w:rsidRPr="00510440">
        <w:t xml:space="preserve"> </w:t>
      </w:r>
      <w:r w:rsidRPr="00510440">
        <w:t>to provide advice in writing.</w:t>
      </w:r>
    </w:p>
    <w:p w14:paraId="52C57BAD" w14:textId="77777777" w:rsidR="00172738" w:rsidRPr="00510440" w:rsidRDefault="00172738" w:rsidP="00710D72">
      <w:pPr>
        <w:spacing w:line="276" w:lineRule="auto"/>
        <w:rPr>
          <w:rFonts w:ascii="Times New Roman" w:hAnsi="Times New Roman"/>
          <w:szCs w:val="22"/>
        </w:rPr>
      </w:pPr>
    </w:p>
    <w:p w14:paraId="7734FC28" w14:textId="56115E4E" w:rsidR="00387DB8" w:rsidRPr="00510440" w:rsidRDefault="00387DB8" w:rsidP="00710D72">
      <w:pPr>
        <w:spacing w:line="276" w:lineRule="auto"/>
        <w:rPr>
          <w:rFonts w:ascii="Times New Roman" w:hAnsi="Times New Roman"/>
          <w:szCs w:val="22"/>
        </w:rPr>
      </w:pPr>
      <w:r w:rsidRPr="00510440">
        <w:rPr>
          <w:rFonts w:ascii="Times New Roman" w:hAnsi="Times New Roman"/>
          <w:szCs w:val="22"/>
        </w:rPr>
        <w:t>Chapter 3, Part 3 of the Act allows for Members of the Legislative Assembly (</w:t>
      </w:r>
      <w:r w:rsidR="00021CE7" w:rsidRPr="00510440">
        <w:rPr>
          <w:rFonts w:ascii="Times New Roman" w:hAnsi="Times New Roman"/>
          <w:szCs w:val="22"/>
        </w:rPr>
        <w:t>'</w:t>
      </w:r>
      <w:r w:rsidRPr="00510440">
        <w:rPr>
          <w:rFonts w:ascii="Times New Roman" w:hAnsi="Times New Roman"/>
          <w:szCs w:val="22"/>
        </w:rPr>
        <w:t>Members</w:t>
      </w:r>
      <w:r w:rsidR="00D653F8" w:rsidRPr="00510440">
        <w:rPr>
          <w:rFonts w:ascii="Times New Roman" w:hAnsi="Times New Roman"/>
          <w:szCs w:val="22"/>
        </w:rPr>
        <w:t xml:space="preserve"> of Parliament</w:t>
      </w:r>
      <w:r w:rsidR="00EC0936" w:rsidRPr="00510440">
        <w:rPr>
          <w:rFonts w:ascii="Times New Roman" w:hAnsi="Times New Roman"/>
          <w:szCs w:val="22"/>
        </w:rPr>
        <w:t>’</w:t>
      </w:r>
      <w:r w:rsidR="00D653F8" w:rsidRPr="00510440">
        <w:rPr>
          <w:rFonts w:ascii="Times New Roman" w:hAnsi="Times New Roman"/>
          <w:szCs w:val="22"/>
        </w:rPr>
        <w:t xml:space="preserve">, </w:t>
      </w:r>
      <w:r w:rsidR="0031323B" w:rsidRPr="00510440">
        <w:rPr>
          <w:rFonts w:ascii="Times New Roman" w:hAnsi="Times New Roman"/>
          <w:szCs w:val="22"/>
        </w:rPr>
        <w:t>‘</w:t>
      </w:r>
      <w:r w:rsidR="00D653F8" w:rsidRPr="00510440">
        <w:rPr>
          <w:rFonts w:ascii="Times New Roman" w:hAnsi="Times New Roman"/>
          <w:szCs w:val="22"/>
        </w:rPr>
        <w:t>MP</w:t>
      </w:r>
      <w:r w:rsidR="0031323B" w:rsidRPr="00510440">
        <w:rPr>
          <w:rFonts w:ascii="Times New Roman" w:hAnsi="Times New Roman"/>
          <w:szCs w:val="22"/>
        </w:rPr>
        <w:t>’</w:t>
      </w:r>
      <w:r w:rsidRPr="00510440">
        <w:rPr>
          <w:rFonts w:ascii="Times New Roman" w:hAnsi="Times New Roman"/>
          <w:szCs w:val="22"/>
        </w:rPr>
        <w:t xml:space="preserve">) to request a meeting with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to discuss any concerns they may have about their interests. In </w:t>
      </w:r>
      <w:r w:rsidR="00523975" w:rsidRPr="00510440">
        <w:rPr>
          <w:rFonts w:ascii="Times New Roman" w:hAnsi="Times New Roman"/>
          <w:szCs w:val="22"/>
        </w:rPr>
        <w:t>response</w:t>
      </w:r>
      <w:r w:rsidRPr="00510440">
        <w:rPr>
          <w:rFonts w:ascii="Times New Roman" w:hAnsi="Times New Roman"/>
          <w:szCs w:val="22"/>
        </w:rPr>
        <w:t xml:space="preserve">,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can provide oral and/ or written advice about interest issues pursuant to section 23. </w:t>
      </w:r>
    </w:p>
    <w:p w14:paraId="46BA8FFA" w14:textId="77777777" w:rsidR="00387DB8" w:rsidRPr="00510440" w:rsidRDefault="00387DB8" w:rsidP="00387DB8">
      <w:pPr>
        <w:spacing w:line="276" w:lineRule="auto"/>
        <w:rPr>
          <w:rFonts w:ascii="Times New Roman" w:hAnsi="Times New Roman"/>
          <w:szCs w:val="22"/>
        </w:rPr>
      </w:pPr>
    </w:p>
    <w:p w14:paraId="7E3256FD" w14:textId="29E8A761" w:rsidR="00387DB8" w:rsidRPr="00510440" w:rsidRDefault="00387DB8" w:rsidP="00387DB8">
      <w:pPr>
        <w:spacing w:line="276" w:lineRule="auto"/>
        <w:rPr>
          <w:rFonts w:ascii="Times New Roman" w:hAnsi="Times New Roman"/>
          <w:szCs w:val="22"/>
        </w:rPr>
      </w:pPr>
      <w:r w:rsidRPr="00510440">
        <w:rPr>
          <w:rFonts w:ascii="Times New Roman" w:hAnsi="Times New Roman"/>
          <w:szCs w:val="22"/>
        </w:rPr>
        <w:lastRenderedPageBreak/>
        <w:t xml:space="preserve">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is committed to ensuring that, irrespective of location, </w:t>
      </w:r>
      <w:r w:rsidR="0031323B" w:rsidRPr="00510440">
        <w:rPr>
          <w:rFonts w:ascii="Times New Roman" w:hAnsi="Times New Roman"/>
          <w:szCs w:val="22"/>
        </w:rPr>
        <w:t>MPs</w:t>
      </w:r>
      <w:r w:rsidRPr="00510440">
        <w:rPr>
          <w:rFonts w:ascii="Times New Roman" w:hAnsi="Times New Roman"/>
          <w:szCs w:val="22"/>
        </w:rPr>
        <w:t xml:space="preserve"> can seek a ‘meeting’ and advice when and as often as </w:t>
      </w:r>
      <w:r w:rsidR="000E7CF2" w:rsidRPr="00510440">
        <w:rPr>
          <w:rFonts w:ascii="Times New Roman" w:hAnsi="Times New Roman"/>
          <w:szCs w:val="22"/>
        </w:rPr>
        <w:t xml:space="preserve">is </w:t>
      </w:r>
      <w:r w:rsidRPr="00510440">
        <w:rPr>
          <w:rFonts w:ascii="Times New Roman" w:hAnsi="Times New Roman"/>
          <w:szCs w:val="22"/>
        </w:rPr>
        <w:t xml:space="preserve">required. On that basis,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does not limit the meaning of ‘meetings’ to merely face to face encounters, but also includes meetings that were convened via telephone or via online options such as ‘Microsoft Teams’. </w:t>
      </w:r>
    </w:p>
    <w:p w14:paraId="698E6CDE" w14:textId="77777777" w:rsidR="005872B9" w:rsidRPr="00510440" w:rsidRDefault="005872B9" w:rsidP="00387DB8">
      <w:pPr>
        <w:spacing w:line="276" w:lineRule="auto"/>
        <w:rPr>
          <w:rFonts w:ascii="Times New Roman" w:hAnsi="Times New Roman"/>
          <w:szCs w:val="22"/>
        </w:rPr>
      </w:pPr>
    </w:p>
    <w:p w14:paraId="4AEB9330" w14:textId="77777777" w:rsidR="00135F25" w:rsidRPr="00510440" w:rsidRDefault="00135F25" w:rsidP="00F41A4B">
      <w:pPr>
        <w:pStyle w:val="Heading3"/>
      </w:pPr>
      <w:bookmarkStart w:id="39" w:name="_Toc83731436"/>
      <w:bookmarkStart w:id="40" w:name="_Toc83802764"/>
      <w:bookmarkStart w:id="41" w:name="_Toc83822849"/>
      <w:r w:rsidRPr="00510440">
        <w:t>Meetings with Members of the Legislative Assembly</w:t>
      </w:r>
      <w:bookmarkEnd w:id="39"/>
      <w:bookmarkEnd w:id="40"/>
      <w:bookmarkEnd w:id="41"/>
    </w:p>
    <w:p w14:paraId="724D295B" w14:textId="180C7110" w:rsidR="00387DB8" w:rsidRPr="00510440" w:rsidRDefault="00387DB8" w:rsidP="00387DB8">
      <w:pPr>
        <w:spacing w:line="276" w:lineRule="auto"/>
        <w:rPr>
          <w:rFonts w:ascii="Times New Roman" w:hAnsi="Times New Roman"/>
          <w:szCs w:val="22"/>
        </w:rPr>
      </w:pPr>
      <w:r w:rsidRPr="00510440">
        <w:rPr>
          <w:rFonts w:ascii="Times New Roman" w:hAnsi="Times New Roman"/>
          <w:szCs w:val="22"/>
        </w:rPr>
        <w:t>During the 2020</w:t>
      </w:r>
      <w:r w:rsidR="00047606">
        <w:rPr>
          <w:rFonts w:ascii="Times New Roman" w:hAnsi="Times New Roman"/>
          <w:szCs w:val="22"/>
        </w:rPr>
        <w:noBreakHyphen/>
      </w:r>
      <w:r w:rsidRPr="00510440">
        <w:rPr>
          <w:rFonts w:ascii="Times New Roman" w:hAnsi="Times New Roman"/>
          <w:szCs w:val="22"/>
        </w:rPr>
        <w:t xml:space="preserve">21 financial year,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had 36 meetings with </w:t>
      </w:r>
      <w:r w:rsidR="0031323B" w:rsidRPr="00510440">
        <w:rPr>
          <w:rFonts w:ascii="Times New Roman" w:hAnsi="Times New Roman"/>
          <w:szCs w:val="22"/>
        </w:rPr>
        <w:t xml:space="preserve">MPs </w:t>
      </w:r>
      <w:r w:rsidRPr="00510440">
        <w:rPr>
          <w:rFonts w:ascii="Times New Roman" w:hAnsi="Times New Roman"/>
          <w:szCs w:val="22"/>
        </w:rPr>
        <w:t xml:space="preserve">under section 22 of the Act. </w:t>
      </w:r>
      <w:proofErr w:type="gramStart"/>
      <w:r w:rsidRPr="00510440">
        <w:rPr>
          <w:rFonts w:ascii="Times New Roman" w:hAnsi="Times New Roman"/>
          <w:szCs w:val="22"/>
        </w:rPr>
        <w:t>All of</w:t>
      </w:r>
      <w:proofErr w:type="gramEnd"/>
      <w:r w:rsidRPr="00510440">
        <w:rPr>
          <w:rFonts w:ascii="Times New Roman" w:hAnsi="Times New Roman"/>
          <w:szCs w:val="22"/>
        </w:rPr>
        <w:t xml:space="preserve"> these meetings included the provision of oral advice by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even if the advice of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was that no further action was required</w:t>
      </w:r>
      <w:r w:rsidR="0031323B" w:rsidRPr="00510440">
        <w:rPr>
          <w:rFonts w:ascii="Times New Roman" w:hAnsi="Times New Roman"/>
          <w:szCs w:val="22"/>
        </w:rPr>
        <w:t xml:space="preserve">. </w:t>
      </w:r>
      <w:r w:rsidRPr="00510440">
        <w:rPr>
          <w:rFonts w:ascii="Times New Roman" w:hAnsi="Times New Roman"/>
          <w:szCs w:val="22"/>
        </w:rPr>
        <w:t xml:space="preserve">A written record was made by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of each meeting.</w:t>
      </w:r>
    </w:p>
    <w:p w14:paraId="15386A4B" w14:textId="77777777" w:rsidR="00387DB8" w:rsidRPr="00510440" w:rsidRDefault="00387DB8" w:rsidP="00387DB8">
      <w:pPr>
        <w:spacing w:line="276" w:lineRule="auto"/>
        <w:rPr>
          <w:rFonts w:ascii="Times New Roman" w:hAnsi="Times New Roman"/>
          <w:szCs w:val="22"/>
        </w:rPr>
      </w:pPr>
    </w:p>
    <w:p w14:paraId="305277D1" w14:textId="06FBD0D8" w:rsidR="00387DB8" w:rsidRPr="00546AF1" w:rsidRDefault="00387DB8" w:rsidP="00387DB8">
      <w:pPr>
        <w:spacing w:line="276" w:lineRule="auto"/>
        <w:rPr>
          <w:rFonts w:ascii="Times New Roman" w:hAnsi="Times New Roman"/>
          <w:szCs w:val="22"/>
        </w:rPr>
      </w:pPr>
      <w:r w:rsidRPr="00510440">
        <w:rPr>
          <w:rFonts w:ascii="Times New Roman" w:hAnsi="Times New Roman"/>
          <w:szCs w:val="22"/>
        </w:rPr>
        <w:t xml:space="preserve">Where relevant,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 xml:space="preserve">also provided written advice following a meeting, for example, if the </w:t>
      </w:r>
      <w:r w:rsidR="0031323B" w:rsidRPr="00510440">
        <w:rPr>
          <w:rFonts w:ascii="Times New Roman" w:hAnsi="Times New Roman"/>
          <w:szCs w:val="22"/>
        </w:rPr>
        <w:t>MP</w:t>
      </w:r>
      <w:r w:rsidRPr="00510440">
        <w:rPr>
          <w:rFonts w:ascii="Times New Roman" w:hAnsi="Times New Roman"/>
          <w:szCs w:val="22"/>
        </w:rPr>
        <w:t xml:space="preserve"> requested the advice also be in writing or if the matter was substantive or complex. In this regard, the </w:t>
      </w:r>
      <w:r w:rsidR="008C27A4" w:rsidRPr="00510440">
        <w:rPr>
          <w:rFonts w:ascii="Times New Roman" w:hAnsi="Times New Roman"/>
          <w:szCs w:val="22"/>
        </w:rPr>
        <w:t>QIC</w:t>
      </w:r>
      <w:r w:rsidR="00457B9E" w:rsidRPr="00510440">
        <w:rPr>
          <w:rFonts w:ascii="Times New Roman" w:hAnsi="Times New Roman"/>
          <w:szCs w:val="22"/>
        </w:rPr>
        <w:t xml:space="preserve"> </w:t>
      </w:r>
      <w:r w:rsidRPr="00510440">
        <w:rPr>
          <w:rFonts w:ascii="Times New Roman" w:hAnsi="Times New Roman"/>
          <w:szCs w:val="22"/>
        </w:rPr>
        <w:t>provided</w:t>
      </w:r>
      <w:r w:rsidRPr="00546AF1">
        <w:rPr>
          <w:rFonts w:ascii="Times New Roman" w:hAnsi="Times New Roman"/>
          <w:szCs w:val="22"/>
        </w:rPr>
        <w:t xml:space="preserve"> written advice </w:t>
      </w:r>
      <w:r w:rsidR="000E7CF2">
        <w:rPr>
          <w:rFonts w:ascii="Times New Roman" w:hAnsi="Times New Roman"/>
          <w:szCs w:val="22"/>
        </w:rPr>
        <w:t xml:space="preserve">on 29 occasions </w:t>
      </w:r>
      <w:r w:rsidRPr="00546AF1">
        <w:rPr>
          <w:rFonts w:ascii="Times New Roman" w:hAnsi="Times New Roman"/>
          <w:szCs w:val="22"/>
        </w:rPr>
        <w:t>following a meeting with a</w:t>
      </w:r>
      <w:r w:rsidR="0031323B" w:rsidRPr="00546AF1">
        <w:rPr>
          <w:rFonts w:ascii="Times New Roman" w:hAnsi="Times New Roman"/>
          <w:szCs w:val="22"/>
        </w:rPr>
        <w:t xml:space="preserve">n MP </w:t>
      </w:r>
      <w:r w:rsidR="00523975" w:rsidRPr="00546AF1">
        <w:rPr>
          <w:rFonts w:ascii="Times New Roman" w:hAnsi="Times New Roman"/>
          <w:szCs w:val="22"/>
        </w:rPr>
        <w:t xml:space="preserve">and </w:t>
      </w:r>
      <w:r w:rsidR="000E7CF2">
        <w:rPr>
          <w:rFonts w:ascii="Times New Roman" w:hAnsi="Times New Roman"/>
          <w:szCs w:val="22"/>
        </w:rPr>
        <w:t xml:space="preserve">this is </w:t>
      </w:r>
      <w:r w:rsidR="00523975" w:rsidRPr="00546AF1">
        <w:rPr>
          <w:rFonts w:ascii="Times New Roman" w:hAnsi="Times New Roman"/>
          <w:szCs w:val="22"/>
        </w:rPr>
        <w:t>included in the total number</w:t>
      </w:r>
      <w:r w:rsidR="002705AD" w:rsidRPr="00546AF1">
        <w:rPr>
          <w:rFonts w:ascii="Times New Roman" w:hAnsi="Times New Roman"/>
          <w:szCs w:val="22"/>
        </w:rPr>
        <w:t xml:space="preserve"> below. </w:t>
      </w:r>
    </w:p>
    <w:p w14:paraId="2E6F1994" w14:textId="77777777" w:rsidR="00387DB8" w:rsidRPr="00546AF1" w:rsidRDefault="00387DB8" w:rsidP="00BE4B1E">
      <w:pPr>
        <w:rPr>
          <w:rFonts w:ascii="Times New Roman" w:hAnsi="Times New Roman"/>
          <w:szCs w:val="20"/>
        </w:rPr>
      </w:pPr>
    </w:p>
    <w:p w14:paraId="4586B3BC" w14:textId="73B685D7" w:rsidR="00CB73EB" w:rsidRPr="00546AF1" w:rsidRDefault="00F91B06" w:rsidP="00F41A4B">
      <w:pPr>
        <w:pStyle w:val="Heading3"/>
      </w:pPr>
      <w:bookmarkStart w:id="42" w:name="_Toc83731437"/>
      <w:bookmarkStart w:id="43" w:name="_Toc83802765"/>
      <w:bookmarkStart w:id="44" w:name="_Toc83822850"/>
      <w:r w:rsidRPr="00546AF1">
        <w:t xml:space="preserve">Number </w:t>
      </w:r>
      <w:r w:rsidR="00283E5E" w:rsidRPr="00546AF1">
        <w:t xml:space="preserve">and </w:t>
      </w:r>
      <w:r w:rsidR="003838C3" w:rsidRPr="00546AF1">
        <w:t xml:space="preserve">sources </w:t>
      </w:r>
      <w:r w:rsidR="00283E5E" w:rsidRPr="00546AF1">
        <w:t>of a</w:t>
      </w:r>
      <w:r w:rsidRPr="00546AF1">
        <w:t>dvice requests</w:t>
      </w:r>
      <w:bookmarkEnd w:id="42"/>
      <w:bookmarkEnd w:id="43"/>
      <w:bookmarkEnd w:id="44"/>
      <w:r w:rsidRPr="00546AF1">
        <w:t xml:space="preserve"> </w:t>
      </w:r>
    </w:p>
    <w:p w14:paraId="3FB73778" w14:textId="0E562CBB" w:rsidR="00C20E7F" w:rsidRPr="00546AF1" w:rsidRDefault="0091195A" w:rsidP="00314A4F">
      <w:pPr>
        <w:spacing w:after="120"/>
        <w:rPr>
          <w:rFonts w:ascii="Times New Roman" w:hAnsi="Times New Roman"/>
          <w:szCs w:val="20"/>
        </w:rPr>
      </w:pPr>
      <w:r w:rsidRPr="00546AF1">
        <w:rPr>
          <w:rFonts w:ascii="Times New Roman" w:hAnsi="Times New Roman"/>
          <w:szCs w:val="20"/>
        </w:rPr>
        <w:t>During the 2020</w:t>
      </w:r>
      <w:r w:rsidR="00047606">
        <w:rPr>
          <w:rFonts w:ascii="Times New Roman" w:hAnsi="Times New Roman"/>
          <w:szCs w:val="20"/>
        </w:rPr>
        <w:noBreakHyphen/>
      </w:r>
      <w:r w:rsidRPr="00546AF1">
        <w:rPr>
          <w:rFonts w:ascii="Times New Roman" w:hAnsi="Times New Roman"/>
          <w:szCs w:val="20"/>
        </w:rPr>
        <w:t xml:space="preserve">21 financial year, </w:t>
      </w:r>
      <w:r w:rsidRPr="00510440">
        <w:rPr>
          <w:rFonts w:ascii="Times New Roman" w:hAnsi="Times New Roman"/>
          <w:szCs w:val="20"/>
        </w:rPr>
        <w:t xml:space="preserve">the </w:t>
      </w:r>
      <w:r w:rsidR="008C27A4" w:rsidRPr="00510440">
        <w:rPr>
          <w:rFonts w:ascii="Times New Roman" w:hAnsi="Times New Roman"/>
          <w:szCs w:val="20"/>
        </w:rPr>
        <w:t>QIC</w:t>
      </w:r>
      <w:r w:rsidR="00457B9E" w:rsidRPr="00510440">
        <w:rPr>
          <w:rFonts w:ascii="Times New Roman" w:hAnsi="Times New Roman"/>
          <w:szCs w:val="20"/>
        </w:rPr>
        <w:t xml:space="preserve"> </w:t>
      </w:r>
      <w:r w:rsidR="00314A4F" w:rsidRPr="00510440">
        <w:rPr>
          <w:rFonts w:ascii="Times New Roman" w:hAnsi="Times New Roman"/>
          <w:szCs w:val="20"/>
        </w:rPr>
        <w:t xml:space="preserve">received </w:t>
      </w:r>
      <w:r w:rsidRPr="00510440">
        <w:rPr>
          <w:rFonts w:ascii="Times New Roman" w:hAnsi="Times New Roman"/>
          <w:szCs w:val="20"/>
        </w:rPr>
        <w:t xml:space="preserve">233 </w:t>
      </w:r>
      <w:r w:rsidR="00314A4F" w:rsidRPr="00510440">
        <w:rPr>
          <w:rFonts w:ascii="Times New Roman" w:hAnsi="Times New Roman"/>
          <w:szCs w:val="20"/>
        </w:rPr>
        <w:t>requests for advice</w:t>
      </w:r>
      <w:r w:rsidR="00C20E7F" w:rsidRPr="00510440">
        <w:rPr>
          <w:rFonts w:ascii="Times New Roman" w:hAnsi="Times New Roman"/>
          <w:szCs w:val="20"/>
        </w:rPr>
        <w:t xml:space="preserve"> including oral requests for advice by </w:t>
      </w:r>
      <w:r w:rsidR="0031323B" w:rsidRPr="00510440">
        <w:rPr>
          <w:rFonts w:ascii="Times New Roman" w:hAnsi="Times New Roman"/>
          <w:szCs w:val="20"/>
        </w:rPr>
        <w:t>MPs.</w:t>
      </w:r>
      <w:r w:rsidR="00C20E7F" w:rsidRPr="00546AF1">
        <w:rPr>
          <w:rFonts w:ascii="Times New Roman" w:hAnsi="Times New Roman"/>
          <w:szCs w:val="20"/>
        </w:rPr>
        <w:t xml:space="preserve"> </w:t>
      </w:r>
    </w:p>
    <w:p w14:paraId="5F631EF2" w14:textId="2B6CA891" w:rsidR="00AF261E" w:rsidRPr="00546AF1" w:rsidRDefault="00AF261E" w:rsidP="00314A4F">
      <w:pPr>
        <w:spacing w:after="120"/>
        <w:rPr>
          <w:rFonts w:ascii="Times New Roman" w:hAnsi="Times New Roman"/>
          <w:szCs w:val="20"/>
        </w:rPr>
      </w:pPr>
      <w:r w:rsidRPr="00546AF1">
        <w:rPr>
          <w:rFonts w:ascii="Times New Roman" w:hAnsi="Times New Roman"/>
          <w:szCs w:val="20"/>
        </w:rPr>
        <w:t xml:space="preserve">This represented a slight downturn in requests </w:t>
      </w:r>
      <w:r w:rsidR="000E7CF2">
        <w:rPr>
          <w:rFonts w:ascii="Times New Roman" w:hAnsi="Times New Roman"/>
          <w:szCs w:val="20"/>
        </w:rPr>
        <w:t xml:space="preserve">for advice </w:t>
      </w:r>
      <w:r w:rsidRPr="00546AF1">
        <w:rPr>
          <w:rFonts w:ascii="Times New Roman" w:hAnsi="Times New Roman"/>
          <w:szCs w:val="20"/>
        </w:rPr>
        <w:t xml:space="preserve">received in comparison to the previous </w:t>
      </w:r>
      <w:r w:rsidR="000E7CF2">
        <w:rPr>
          <w:rFonts w:ascii="Times New Roman" w:hAnsi="Times New Roman"/>
          <w:szCs w:val="20"/>
        </w:rPr>
        <w:t xml:space="preserve">two </w:t>
      </w:r>
      <w:r w:rsidRPr="00546AF1">
        <w:rPr>
          <w:rFonts w:ascii="Times New Roman" w:hAnsi="Times New Roman"/>
          <w:szCs w:val="20"/>
        </w:rPr>
        <w:t>years as shown below</w:t>
      </w:r>
      <w:r w:rsidR="00F91B06" w:rsidRPr="00546AF1">
        <w:rPr>
          <w:rFonts w:ascii="Times New Roman" w:hAnsi="Times New Roman"/>
          <w:szCs w:val="20"/>
        </w:rPr>
        <w:t xml:space="preserve"> in Table 1</w:t>
      </w:r>
      <w:r w:rsidR="00A64613" w:rsidRPr="00546AF1">
        <w:rPr>
          <w:rFonts w:ascii="Times New Roman" w:hAnsi="Times New Roman"/>
          <w:szCs w:val="20"/>
        </w:rPr>
        <w:t xml:space="preserve">. However, the number remains much higher </w:t>
      </w:r>
      <w:r w:rsidR="000E7CF2" w:rsidRPr="00546AF1">
        <w:rPr>
          <w:rFonts w:ascii="Times New Roman" w:hAnsi="Times New Roman"/>
          <w:szCs w:val="20"/>
        </w:rPr>
        <w:t>tha</w:t>
      </w:r>
      <w:r w:rsidR="000E7CF2">
        <w:rPr>
          <w:rFonts w:ascii="Times New Roman" w:hAnsi="Times New Roman"/>
          <w:szCs w:val="20"/>
        </w:rPr>
        <w:t>n</w:t>
      </w:r>
      <w:r w:rsidR="000E7CF2" w:rsidRPr="00546AF1">
        <w:rPr>
          <w:rFonts w:ascii="Times New Roman" w:hAnsi="Times New Roman"/>
          <w:szCs w:val="20"/>
        </w:rPr>
        <w:t xml:space="preserve"> </w:t>
      </w:r>
      <w:r w:rsidR="00A64613" w:rsidRPr="00546AF1">
        <w:rPr>
          <w:rFonts w:ascii="Times New Roman" w:hAnsi="Times New Roman"/>
          <w:szCs w:val="20"/>
        </w:rPr>
        <w:t>historical rates</w:t>
      </w:r>
      <w:r w:rsidR="00F91B06" w:rsidRPr="00546AF1">
        <w:rPr>
          <w:rFonts w:ascii="Times New Roman" w:hAnsi="Times New Roman"/>
          <w:szCs w:val="20"/>
        </w:rPr>
        <w:t>:</w:t>
      </w:r>
    </w:p>
    <w:p w14:paraId="5688EE27" w14:textId="5E254142" w:rsidR="00F91B06" w:rsidRPr="00546AF1" w:rsidRDefault="00F91B06" w:rsidP="00314A4F">
      <w:pPr>
        <w:spacing w:after="120"/>
        <w:rPr>
          <w:rFonts w:ascii="Times New Roman" w:hAnsi="Times New Roman"/>
          <w:szCs w:val="20"/>
        </w:rPr>
      </w:pPr>
      <w:r w:rsidRPr="00546AF1">
        <w:rPr>
          <w:rFonts w:ascii="Times New Roman" w:hAnsi="Times New Roman"/>
          <w:noProof/>
        </w:rPr>
        <w:drawing>
          <wp:inline distT="0" distB="0" distL="0" distR="0" wp14:anchorId="56455AD1" wp14:editId="6186B7B2">
            <wp:extent cx="5400675" cy="2987040"/>
            <wp:effectExtent l="0" t="0" r="0" b="3810"/>
            <wp:docPr id="58" name="Chart 58">
              <a:extLst xmlns:a="http://schemas.openxmlformats.org/drawingml/2006/main">
                <a:ext uri="{FF2B5EF4-FFF2-40B4-BE49-F238E27FC236}">
                  <a16:creationId xmlns:a16="http://schemas.microsoft.com/office/drawing/2014/main" id="{106EFDE2-1166-4078-960A-D29DAE4C79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5D9914F" w14:textId="77777777" w:rsidR="00F91B06" w:rsidRPr="00546AF1" w:rsidRDefault="00F91B06" w:rsidP="00EB6567">
      <w:pPr>
        <w:pStyle w:val="Style1"/>
      </w:pPr>
    </w:p>
    <w:p w14:paraId="7F74A699" w14:textId="2C1E2258" w:rsidR="00062634" w:rsidRPr="00510440" w:rsidRDefault="000E7CF2" w:rsidP="00EB6567">
      <w:pPr>
        <w:pStyle w:val="Style1"/>
      </w:pPr>
      <w:r>
        <w:t>P</w:t>
      </w:r>
      <w:r w:rsidR="0037081A" w:rsidRPr="00546AF1">
        <w:t xml:space="preserve">ersons </w:t>
      </w:r>
      <w:r>
        <w:t xml:space="preserve">seeking </w:t>
      </w:r>
      <w:r w:rsidR="0037081A" w:rsidRPr="00546AF1">
        <w:t xml:space="preserve">advice from the </w:t>
      </w:r>
      <w:r w:rsidR="008C27A4" w:rsidRPr="00546AF1">
        <w:t>QIC</w:t>
      </w:r>
      <w:r>
        <w:t xml:space="preserve"> </w:t>
      </w:r>
      <w:r w:rsidR="001E3DA6" w:rsidRPr="00546AF1">
        <w:t xml:space="preserve">were </w:t>
      </w:r>
      <w:r>
        <w:t xml:space="preserve">primarily </w:t>
      </w:r>
      <w:r w:rsidR="0031323B" w:rsidRPr="00546AF1">
        <w:t>MPs</w:t>
      </w:r>
      <w:r>
        <w:t>,</w:t>
      </w:r>
      <w:r w:rsidR="0031323B" w:rsidRPr="00546AF1">
        <w:t xml:space="preserve"> </w:t>
      </w:r>
      <w:r w:rsidR="00F54C4C" w:rsidRPr="00546AF1">
        <w:t xml:space="preserve">who sought advice </w:t>
      </w:r>
      <w:r w:rsidR="00F54C4C" w:rsidRPr="00510440">
        <w:t xml:space="preserve">on </w:t>
      </w:r>
      <w:r w:rsidR="008B6173" w:rsidRPr="00510440">
        <w:t>105</w:t>
      </w:r>
      <w:r w:rsidR="00BC2888" w:rsidRPr="00510440">
        <w:t xml:space="preserve"> </w:t>
      </w:r>
      <w:r w:rsidR="00062634" w:rsidRPr="00510440">
        <w:t>occasions</w:t>
      </w:r>
      <w:r w:rsidR="00F54C4C" w:rsidRPr="00510440">
        <w:t>,</w:t>
      </w:r>
      <w:r w:rsidR="00BC2888" w:rsidRPr="00510440">
        <w:t xml:space="preserve"> </w:t>
      </w:r>
      <w:r w:rsidR="008B6173" w:rsidRPr="00510440">
        <w:t>including</w:t>
      </w:r>
      <w:r w:rsidR="00062634" w:rsidRPr="00510440">
        <w:t>:</w:t>
      </w:r>
    </w:p>
    <w:p w14:paraId="5C0F0D3A" w14:textId="1B185486" w:rsidR="00062634" w:rsidRPr="00510440" w:rsidRDefault="008B6173" w:rsidP="00EB6567">
      <w:pPr>
        <w:pStyle w:val="Style1"/>
        <w:numPr>
          <w:ilvl w:val="0"/>
          <w:numId w:val="26"/>
        </w:numPr>
      </w:pPr>
      <w:r w:rsidRPr="00510440">
        <w:t xml:space="preserve">92 </w:t>
      </w:r>
      <w:r w:rsidR="00F54C4C" w:rsidRPr="00510440">
        <w:t>requests from t</w:t>
      </w:r>
      <w:r w:rsidR="006E40F5" w:rsidRPr="00510440">
        <w:t>he class of persons, ‘</w:t>
      </w:r>
      <w:r w:rsidRPr="00510440">
        <w:t>Premier, Ministers or Assistant Ministers</w:t>
      </w:r>
      <w:r w:rsidR="006E40F5" w:rsidRPr="00510440">
        <w:t>’,</w:t>
      </w:r>
      <w:r w:rsidRPr="00510440">
        <w:t xml:space="preserve"> and </w:t>
      </w:r>
    </w:p>
    <w:p w14:paraId="7DB6FAB5" w14:textId="45879E7B" w:rsidR="00062634" w:rsidRPr="00510440" w:rsidRDefault="008B6173" w:rsidP="00EB6567">
      <w:pPr>
        <w:pStyle w:val="Style1"/>
        <w:numPr>
          <w:ilvl w:val="0"/>
          <w:numId w:val="26"/>
        </w:numPr>
      </w:pPr>
      <w:r w:rsidRPr="00510440">
        <w:t>1</w:t>
      </w:r>
      <w:r w:rsidR="00F3517F">
        <w:t>3</w:t>
      </w:r>
      <w:r w:rsidRPr="00510440">
        <w:t xml:space="preserve"> from </w:t>
      </w:r>
      <w:r w:rsidR="006E40F5" w:rsidRPr="00510440">
        <w:t>o</w:t>
      </w:r>
      <w:r w:rsidRPr="00510440">
        <w:t xml:space="preserve">ther </w:t>
      </w:r>
      <w:r w:rsidR="0031323B" w:rsidRPr="00510440">
        <w:t>MPs.</w:t>
      </w:r>
    </w:p>
    <w:p w14:paraId="3EF151DF" w14:textId="77777777" w:rsidR="00062634" w:rsidRPr="00510440" w:rsidRDefault="00062634" w:rsidP="00EB6567">
      <w:pPr>
        <w:pStyle w:val="Style1"/>
      </w:pPr>
    </w:p>
    <w:p w14:paraId="3529E5FD" w14:textId="7ED7A501" w:rsidR="00BB4071" w:rsidRPr="00510440" w:rsidRDefault="00B315E2" w:rsidP="00EB6567">
      <w:pPr>
        <w:pStyle w:val="Style1"/>
      </w:pPr>
      <w:r w:rsidRPr="00510440">
        <w:t xml:space="preserve">Mayors and councillors were the second most prominent class of </w:t>
      </w:r>
      <w:r w:rsidR="00B34523" w:rsidRPr="00510440">
        <w:t xml:space="preserve">designated persons seeking advice </w:t>
      </w:r>
      <w:r w:rsidRPr="00510440">
        <w:t xml:space="preserve">with </w:t>
      </w:r>
      <w:r w:rsidR="00D45018" w:rsidRPr="00510440">
        <w:t xml:space="preserve">29 </w:t>
      </w:r>
      <w:r w:rsidR="0037081A" w:rsidRPr="00510440">
        <w:t>requests</w:t>
      </w:r>
      <w:r w:rsidRPr="00510440">
        <w:t xml:space="preserve"> received. This number i</w:t>
      </w:r>
      <w:r w:rsidR="00DF587C" w:rsidRPr="00510440">
        <w:t>s</w:t>
      </w:r>
      <w:r w:rsidRPr="00510440">
        <w:t xml:space="preserve"> substantially lower than the previous years </w:t>
      </w:r>
      <w:r w:rsidR="00B9112D" w:rsidRPr="00510440">
        <w:t xml:space="preserve">due to changes in legislation </w:t>
      </w:r>
      <w:r w:rsidR="000E7CF2" w:rsidRPr="00510440">
        <w:t>in the local government sector</w:t>
      </w:r>
      <w:r w:rsidR="00407D43" w:rsidRPr="00510440">
        <w:t xml:space="preserve">. </w:t>
      </w:r>
      <w:r w:rsidR="000E7CF2" w:rsidRPr="00510440">
        <w:t>T</w:t>
      </w:r>
      <w:r w:rsidR="00407D43" w:rsidRPr="00510440">
        <w:t xml:space="preserve">he management of conflicts of interest at local government level </w:t>
      </w:r>
      <w:r w:rsidR="00DF587C" w:rsidRPr="00510440">
        <w:t xml:space="preserve">is </w:t>
      </w:r>
      <w:r w:rsidR="000E7CF2" w:rsidRPr="00510440">
        <w:t xml:space="preserve">more often a </w:t>
      </w:r>
      <w:r w:rsidR="00E6692C" w:rsidRPr="00510440">
        <w:t xml:space="preserve">matter of legal interpretation </w:t>
      </w:r>
      <w:r w:rsidR="000E7CF2" w:rsidRPr="00510440">
        <w:t xml:space="preserve">rather than </w:t>
      </w:r>
      <w:r w:rsidR="00DF587C" w:rsidRPr="00510440">
        <w:t xml:space="preserve">a </w:t>
      </w:r>
      <w:r w:rsidR="00E6692C" w:rsidRPr="00510440">
        <w:t xml:space="preserve">discrete </w:t>
      </w:r>
      <w:r w:rsidR="00DF587C" w:rsidRPr="00510440">
        <w:t xml:space="preserve">ethics or integrity </w:t>
      </w:r>
      <w:r w:rsidR="000E7CF2" w:rsidRPr="00510440">
        <w:t>issue</w:t>
      </w:r>
      <w:r w:rsidR="00E6692C" w:rsidRPr="00510440">
        <w:t xml:space="preserve">. </w:t>
      </w:r>
      <w:r w:rsidR="00F26DBC" w:rsidRPr="00510440">
        <w:t xml:space="preserve">Such matters are </w:t>
      </w:r>
      <w:r w:rsidR="000E7CF2" w:rsidRPr="00510440">
        <w:t>best left for other integrity agencies who have jurisdiction over the lo</w:t>
      </w:r>
      <w:r w:rsidR="00BC5E46">
        <w:t>c</w:t>
      </w:r>
      <w:r w:rsidR="000E7CF2" w:rsidRPr="00510440">
        <w:t>al government sector</w:t>
      </w:r>
      <w:r w:rsidR="00F26DBC" w:rsidRPr="00510440">
        <w:t>.</w:t>
      </w:r>
    </w:p>
    <w:p w14:paraId="08520BAA" w14:textId="77777777" w:rsidR="00BB4071" w:rsidRPr="00510440" w:rsidRDefault="00BB4071" w:rsidP="00EB6567">
      <w:pPr>
        <w:pStyle w:val="Style1"/>
      </w:pPr>
    </w:p>
    <w:p w14:paraId="4D68F339" w14:textId="00C28A9B" w:rsidR="00B315E2" w:rsidRPr="00546AF1" w:rsidRDefault="000E7CF2" w:rsidP="00EB6567">
      <w:pPr>
        <w:pStyle w:val="Style1"/>
      </w:pPr>
      <w:r w:rsidRPr="00510440">
        <w:lastRenderedPageBreak/>
        <w:t>As such</w:t>
      </w:r>
      <w:r w:rsidR="00436090" w:rsidRPr="00510440">
        <w:t>, the decrease in the total number of advice request</w:t>
      </w:r>
      <w:r w:rsidR="00BB4071" w:rsidRPr="00510440">
        <w:t>s</w:t>
      </w:r>
      <w:r w:rsidR="00436090" w:rsidRPr="00510440">
        <w:t xml:space="preserve"> this financial year in comparison to the 2018</w:t>
      </w:r>
      <w:r w:rsidR="00047606">
        <w:noBreakHyphen/>
      </w:r>
      <w:r w:rsidR="00436090" w:rsidRPr="00510440">
        <w:t>19 and 2019</w:t>
      </w:r>
      <w:r w:rsidR="00047606">
        <w:noBreakHyphen/>
      </w:r>
      <w:r w:rsidR="00436090" w:rsidRPr="00510440">
        <w:t xml:space="preserve">20 years </w:t>
      </w:r>
      <w:r w:rsidR="00BB4071" w:rsidRPr="00510440">
        <w:t xml:space="preserve">as shown in Table 1 </w:t>
      </w:r>
      <w:r w:rsidR="00436090" w:rsidRPr="00510440">
        <w:t xml:space="preserve">is primarily due to </w:t>
      </w:r>
      <w:r w:rsidRPr="00510440">
        <w:t xml:space="preserve">a </w:t>
      </w:r>
      <w:r w:rsidR="00436090" w:rsidRPr="00510440">
        <w:t>reduction in requests</w:t>
      </w:r>
      <w:r w:rsidR="00436090" w:rsidRPr="00546AF1">
        <w:t xml:space="preserve"> </w:t>
      </w:r>
      <w:r>
        <w:t xml:space="preserve">for advice </w:t>
      </w:r>
      <w:r w:rsidR="00436090" w:rsidRPr="00546AF1">
        <w:t>from mayors and councillors.</w:t>
      </w:r>
    </w:p>
    <w:p w14:paraId="320DC32F" w14:textId="77777777" w:rsidR="00B315E2" w:rsidRPr="00546AF1" w:rsidRDefault="00B315E2" w:rsidP="00EB6567">
      <w:pPr>
        <w:pStyle w:val="Style1"/>
      </w:pPr>
    </w:p>
    <w:p w14:paraId="770EE15D" w14:textId="314E7A90" w:rsidR="00ED3DFA" w:rsidRPr="00546AF1" w:rsidRDefault="00547500" w:rsidP="00EB6567">
      <w:pPr>
        <w:pStyle w:val="Style1"/>
      </w:pPr>
      <w:r w:rsidRPr="00546AF1">
        <w:t xml:space="preserve">Of the </w:t>
      </w:r>
      <w:r w:rsidR="000E7CF2" w:rsidRPr="00546AF1">
        <w:t>remaini</w:t>
      </w:r>
      <w:r w:rsidR="000E7CF2">
        <w:t>ng</w:t>
      </w:r>
      <w:r w:rsidR="000E7CF2" w:rsidRPr="00546AF1">
        <w:t xml:space="preserve"> </w:t>
      </w:r>
      <w:r w:rsidRPr="00546AF1">
        <w:t xml:space="preserve">requests </w:t>
      </w:r>
      <w:r w:rsidR="000E7CF2">
        <w:t xml:space="preserve">for advice </w:t>
      </w:r>
      <w:r w:rsidR="00B34523" w:rsidRPr="00546AF1">
        <w:t xml:space="preserve">received, </w:t>
      </w:r>
      <w:r w:rsidR="001B29E8" w:rsidRPr="00546AF1">
        <w:t xml:space="preserve">ministerial staff sought advice on 24 occasions, </w:t>
      </w:r>
      <w:r w:rsidR="00BC2888" w:rsidRPr="00546AF1">
        <w:t>s</w:t>
      </w:r>
      <w:r w:rsidR="0037081A" w:rsidRPr="00546AF1">
        <w:t xml:space="preserve">tatutory </w:t>
      </w:r>
      <w:r w:rsidR="00BC2888" w:rsidRPr="00546AF1">
        <w:t>o</w:t>
      </w:r>
      <w:r w:rsidR="0037081A" w:rsidRPr="00546AF1">
        <w:t xml:space="preserve">fficer </w:t>
      </w:r>
      <w:r w:rsidR="00BC2888" w:rsidRPr="00546AF1">
        <w:t>h</w:t>
      </w:r>
      <w:r w:rsidR="0037081A" w:rsidRPr="00546AF1">
        <w:t xml:space="preserve">olders </w:t>
      </w:r>
      <w:r w:rsidRPr="00546AF1">
        <w:t xml:space="preserve">on </w:t>
      </w:r>
      <w:r w:rsidR="0037081A" w:rsidRPr="00546AF1">
        <w:t xml:space="preserve">25 </w:t>
      </w:r>
      <w:r w:rsidRPr="00546AF1">
        <w:t xml:space="preserve">occasions, and </w:t>
      </w:r>
      <w:r w:rsidR="00BC2888" w:rsidRPr="00546AF1">
        <w:t xml:space="preserve">chief executive officers </w:t>
      </w:r>
      <w:r w:rsidRPr="00546AF1">
        <w:t xml:space="preserve">on </w:t>
      </w:r>
      <w:r w:rsidR="00FE1406" w:rsidRPr="00546AF1">
        <w:t xml:space="preserve">21 </w:t>
      </w:r>
      <w:r w:rsidRPr="00546AF1">
        <w:t xml:space="preserve">occasions. </w:t>
      </w:r>
    </w:p>
    <w:p w14:paraId="47304F74" w14:textId="77777777" w:rsidR="00ED3DFA" w:rsidRPr="00546AF1" w:rsidRDefault="00ED3DFA" w:rsidP="00EB6567">
      <w:pPr>
        <w:pStyle w:val="Style1"/>
      </w:pPr>
    </w:p>
    <w:p w14:paraId="405EE53E" w14:textId="6A59FE5A" w:rsidR="0037081A" w:rsidRDefault="00B34523" w:rsidP="00EB6567">
      <w:pPr>
        <w:pStyle w:val="Style1"/>
      </w:pPr>
      <w:r w:rsidRPr="00546AF1">
        <w:t xml:space="preserve">In addition, </w:t>
      </w:r>
      <w:r w:rsidR="003872B5" w:rsidRPr="00546AF1">
        <w:t xml:space="preserve">19 requests </w:t>
      </w:r>
      <w:r w:rsidR="000E7CF2">
        <w:t xml:space="preserve">for advice were received </w:t>
      </w:r>
      <w:r w:rsidR="003872B5" w:rsidRPr="00546AF1">
        <w:t>from s</w:t>
      </w:r>
      <w:r w:rsidR="00547500" w:rsidRPr="00546AF1">
        <w:t>enior executive</w:t>
      </w:r>
      <w:r w:rsidR="003872B5" w:rsidRPr="00546AF1">
        <w:t>s</w:t>
      </w:r>
      <w:r w:rsidR="00547500" w:rsidRPr="00546AF1">
        <w:t xml:space="preserve"> or senior officer</w:t>
      </w:r>
      <w:r w:rsidR="003872B5" w:rsidRPr="00546AF1">
        <w:t>s</w:t>
      </w:r>
      <w:r w:rsidR="008E4388" w:rsidRPr="00546AF1">
        <w:t>,</w:t>
      </w:r>
      <w:r w:rsidR="003872B5" w:rsidRPr="00546AF1">
        <w:t xml:space="preserve"> and </w:t>
      </w:r>
      <w:r w:rsidR="00047606">
        <w:t>nine</w:t>
      </w:r>
      <w:r w:rsidR="00FE1406" w:rsidRPr="00546AF1">
        <w:t xml:space="preserve"> requests from former </w:t>
      </w:r>
      <w:r w:rsidR="00F472A5" w:rsidRPr="00546AF1">
        <w:t>designated persons</w:t>
      </w:r>
      <w:r w:rsidR="000E7CF2">
        <w:t xml:space="preserve"> regarding post</w:t>
      </w:r>
      <w:r w:rsidR="00047606">
        <w:noBreakHyphen/>
      </w:r>
      <w:r w:rsidR="000E7CF2">
        <w:t>separation obligations</w:t>
      </w:r>
      <w:r w:rsidR="00F472A5" w:rsidRPr="00546AF1">
        <w:t xml:space="preserve"> made </w:t>
      </w:r>
      <w:r w:rsidR="000E7CF2">
        <w:t xml:space="preserve">pursuant to the recently enacted </w:t>
      </w:r>
      <w:r w:rsidR="00F472A5" w:rsidRPr="00546AF1">
        <w:t xml:space="preserve">section </w:t>
      </w:r>
      <w:r w:rsidR="000F2120" w:rsidRPr="00546AF1">
        <w:t>20A of the Act.</w:t>
      </w:r>
    </w:p>
    <w:p w14:paraId="238B7D38" w14:textId="77777777" w:rsidR="00710D72" w:rsidRPr="00546AF1" w:rsidRDefault="00710D72" w:rsidP="00EB6567">
      <w:pPr>
        <w:pStyle w:val="Style1"/>
      </w:pPr>
    </w:p>
    <w:p w14:paraId="263ACF6B" w14:textId="6E6065E2" w:rsidR="003838C3" w:rsidRPr="00546AF1" w:rsidRDefault="003838C3" w:rsidP="00C45D73">
      <w:pPr>
        <w:pStyle w:val="Heading3"/>
      </w:pPr>
      <w:r w:rsidRPr="00546AF1">
        <w:t>Nature of advice requests</w:t>
      </w:r>
    </w:p>
    <w:p w14:paraId="031BEE1A" w14:textId="021531FE" w:rsidR="00BE4B1E" w:rsidRPr="00546AF1" w:rsidRDefault="004E3283" w:rsidP="00EB6567">
      <w:pPr>
        <w:pStyle w:val="Style1"/>
      </w:pPr>
      <w:r w:rsidRPr="00546AF1">
        <w:t xml:space="preserve">Of </w:t>
      </w:r>
      <w:r w:rsidR="001811DB" w:rsidRPr="00546AF1">
        <w:t xml:space="preserve">requests </w:t>
      </w:r>
      <w:r w:rsidR="000E7CF2">
        <w:t xml:space="preserve">for advice </w:t>
      </w:r>
      <w:r w:rsidR="001811DB" w:rsidRPr="00546AF1">
        <w:t xml:space="preserve">received, </w:t>
      </w:r>
      <w:r w:rsidRPr="00546AF1">
        <w:t xml:space="preserve">the main sub-categories of issues, per class of </w:t>
      </w:r>
      <w:r w:rsidR="001811DB" w:rsidRPr="00546AF1">
        <w:t xml:space="preserve">designated </w:t>
      </w:r>
      <w:r w:rsidRPr="00546AF1">
        <w:t>persons, were:</w:t>
      </w:r>
    </w:p>
    <w:p w14:paraId="3482EE70" w14:textId="77777777" w:rsidR="00DC60B5" w:rsidRPr="00546AF1" w:rsidRDefault="00DC60B5" w:rsidP="00EB6567">
      <w:pPr>
        <w:pStyle w:val="Style1"/>
      </w:pPr>
    </w:p>
    <w:p w14:paraId="019DC75A" w14:textId="2B035B84" w:rsidR="004E3283" w:rsidRPr="00546AF1" w:rsidRDefault="004E3283" w:rsidP="00EB6567">
      <w:pPr>
        <w:pStyle w:val="Style1"/>
        <w:numPr>
          <w:ilvl w:val="0"/>
          <w:numId w:val="27"/>
        </w:numPr>
      </w:pPr>
      <w:r w:rsidRPr="00546AF1">
        <w:t xml:space="preserve">Members of the Legislative Assembly </w:t>
      </w:r>
      <w:proofErr w:type="gramStart"/>
      <w:r w:rsidR="009530B5" w:rsidRPr="00546AF1">
        <w:t>most commonly sought</w:t>
      </w:r>
      <w:proofErr w:type="gramEnd"/>
      <w:r w:rsidR="009530B5" w:rsidRPr="00546AF1">
        <w:t xml:space="preserve"> advice about developing conflict of interest management plan</w:t>
      </w:r>
      <w:r w:rsidR="000E7CF2">
        <w:t>s</w:t>
      </w:r>
      <w:r w:rsidR="009530B5" w:rsidRPr="00546AF1">
        <w:t xml:space="preserve"> to manage </w:t>
      </w:r>
      <w:r w:rsidR="00CC3F0D" w:rsidRPr="00546AF1">
        <w:t xml:space="preserve">perceived </w:t>
      </w:r>
      <w:r w:rsidR="003C486D" w:rsidRPr="00546AF1">
        <w:t xml:space="preserve">conflicts arising from </w:t>
      </w:r>
      <w:r w:rsidR="003E3940" w:rsidRPr="00546AF1">
        <w:t xml:space="preserve">interest issues such as </w:t>
      </w:r>
      <w:r w:rsidR="00ED1C0B" w:rsidRPr="00546AF1">
        <w:t xml:space="preserve">memberships of community groups, </w:t>
      </w:r>
      <w:r w:rsidR="003C486D" w:rsidRPr="00546AF1">
        <w:t xml:space="preserve">pecuniary interests, </w:t>
      </w:r>
      <w:r w:rsidR="00ED1C0B" w:rsidRPr="00546AF1">
        <w:t xml:space="preserve">and </w:t>
      </w:r>
      <w:r w:rsidR="003C486D" w:rsidRPr="00546AF1">
        <w:t>related party arrangements</w:t>
      </w:r>
      <w:r w:rsidR="00ED1C0B" w:rsidRPr="00546AF1">
        <w:t xml:space="preserve">. </w:t>
      </w:r>
      <w:r w:rsidR="00BC1706" w:rsidRPr="00546AF1">
        <w:t xml:space="preserve">Memberships of community </w:t>
      </w:r>
      <w:r w:rsidR="007724CD" w:rsidRPr="00546AF1">
        <w:t xml:space="preserve">groups was also a common topic of advice </w:t>
      </w:r>
      <w:r w:rsidR="00B1626A" w:rsidRPr="00546AF1">
        <w:t xml:space="preserve">requests </w:t>
      </w:r>
      <w:r w:rsidR="007724CD" w:rsidRPr="00546AF1">
        <w:t>f</w:t>
      </w:r>
      <w:r w:rsidR="00A22B2E" w:rsidRPr="00546AF1">
        <w:t>rom</w:t>
      </w:r>
      <w:r w:rsidR="007724CD" w:rsidRPr="00546AF1">
        <w:t xml:space="preserve"> mayors and councillors</w:t>
      </w:r>
      <w:r w:rsidR="00A22B2E" w:rsidRPr="00546AF1">
        <w:t xml:space="preserve">. It is to be </w:t>
      </w:r>
      <w:r w:rsidR="007724CD" w:rsidRPr="00546AF1">
        <w:t xml:space="preserve">expected </w:t>
      </w:r>
      <w:r w:rsidR="00A22B2E" w:rsidRPr="00546AF1">
        <w:t xml:space="preserve">that </w:t>
      </w:r>
      <w:r w:rsidR="007724CD" w:rsidRPr="00546AF1">
        <w:t xml:space="preserve">elected officials at </w:t>
      </w:r>
      <w:r w:rsidR="00B1626A" w:rsidRPr="00546AF1">
        <w:t xml:space="preserve">both </w:t>
      </w:r>
      <w:r w:rsidR="007724CD" w:rsidRPr="00546AF1">
        <w:t xml:space="preserve">State and local government levels </w:t>
      </w:r>
      <w:r w:rsidR="0030219C" w:rsidRPr="00546AF1">
        <w:t xml:space="preserve">will seek advice on </w:t>
      </w:r>
      <w:r w:rsidR="000E7CF2">
        <w:t xml:space="preserve">such issues as people will </w:t>
      </w:r>
      <w:r w:rsidR="00B1626A" w:rsidRPr="00546AF1">
        <w:t xml:space="preserve">typically have </w:t>
      </w:r>
      <w:r w:rsidR="007724CD" w:rsidRPr="00546AF1">
        <w:t>long-standing community ties</w:t>
      </w:r>
      <w:r w:rsidR="00413DA1" w:rsidRPr="00546AF1">
        <w:t xml:space="preserve"> and advocate strongly in support of </w:t>
      </w:r>
      <w:r w:rsidR="003F6124" w:rsidRPr="00546AF1">
        <w:t xml:space="preserve">community groups working in their </w:t>
      </w:r>
      <w:proofErr w:type="gramStart"/>
      <w:r w:rsidR="00413DA1" w:rsidRPr="00546AF1">
        <w:t xml:space="preserve">particular </w:t>
      </w:r>
      <w:r w:rsidR="003F6124" w:rsidRPr="00546AF1">
        <w:t>electorates</w:t>
      </w:r>
      <w:proofErr w:type="gramEnd"/>
      <w:r w:rsidR="003F6124" w:rsidRPr="00546AF1">
        <w:t>.</w:t>
      </w:r>
    </w:p>
    <w:p w14:paraId="4F2F1ED7" w14:textId="77777777" w:rsidR="00DC60B5" w:rsidRPr="00546AF1" w:rsidRDefault="00DC60B5" w:rsidP="00EB6567">
      <w:pPr>
        <w:pStyle w:val="Style1"/>
      </w:pPr>
    </w:p>
    <w:p w14:paraId="1CF58969" w14:textId="0587A9F7" w:rsidR="004E3283" w:rsidRPr="00546AF1" w:rsidRDefault="0011127C" w:rsidP="00EB6567">
      <w:pPr>
        <w:pStyle w:val="Style1"/>
        <w:numPr>
          <w:ilvl w:val="0"/>
          <w:numId w:val="27"/>
        </w:numPr>
        <w:rPr>
          <w:rFonts w:eastAsiaTheme="minorEastAsia"/>
        </w:rPr>
      </w:pPr>
      <w:r w:rsidRPr="00546AF1">
        <w:t>S</w:t>
      </w:r>
      <w:r w:rsidR="004E3283" w:rsidRPr="00546AF1">
        <w:t>tatutory officer holders</w:t>
      </w:r>
      <w:r w:rsidRPr="00546AF1">
        <w:t xml:space="preserve"> </w:t>
      </w:r>
      <w:r w:rsidR="000E1647" w:rsidRPr="00546AF1">
        <w:t xml:space="preserve">mainly sought advice about </w:t>
      </w:r>
      <w:r w:rsidR="009F5C3E" w:rsidRPr="00546AF1">
        <w:rPr>
          <w:rFonts w:eastAsiaTheme="minorEastAsia"/>
        </w:rPr>
        <w:t>duty</w:t>
      </w:r>
      <w:r w:rsidR="006021D0" w:rsidRPr="00546AF1">
        <w:rPr>
          <w:rFonts w:eastAsiaTheme="minorEastAsia"/>
        </w:rPr>
        <w:t>-</w:t>
      </w:r>
      <w:r w:rsidR="009F5C3E" w:rsidRPr="00546AF1">
        <w:rPr>
          <w:rFonts w:eastAsiaTheme="minorEastAsia"/>
        </w:rPr>
        <w:t>on</w:t>
      </w:r>
      <w:r w:rsidR="006021D0" w:rsidRPr="00546AF1">
        <w:rPr>
          <w:rFonts w:eastAsiaTheme="minorEastAsia"/>
        </w:rPr>
        <w:t>-</w:t>
      </w:r>
      <w:r w:rsidR="009F5C3E" w:rsidRPr="00546AF1">
        <w:rPr>
          <w:rFonts w:eastAsiaTheme="minorEastAsia"/>
        </w:rPr>
        <w:t>duty conflicts</w:t>
      </w:r>
      <w:r w:rsidR="00BD47DC" w:rsidRPr="00546AF1">
        <w:t>,</w:t>
      </w:r>
      <w:r w:rsidR="009F5C3E" w:rsidRPr="00546AF1">
        <w:t xml:space="preserve"> </w:t>
      </w:r>
      <w:r w:rsidR="000E1647" w:rsidRPr="00546AF1">
        <w:t>their s</w:t>
      </w:r>
      <w:r w:rsidRPr="00546AF1">
        <w:t xml:space="preserve">tatutory </w:t>
      </w:r>
      <w:r w:rsidR="004E3283" w:rsidRPr="00546AF1">
        <w:t xml:space="preserve">obligations to report </w:t>
      </w:r>
      <w:r w:rsidR="000E1647" w:rsidRPr="00546AF1">
        <w:t xml:space="preserve">a reasonable </w:t>
      </w:r>
      <w:r w:rsidRPr="00546AF1">
        <w:t>suspic</w:t>
      </w:r>
      <w:r w:rsidR="00A20423" w:rsidRPr="00546AF1">
        <w:t xml:space="preserve">ion or belief </w:t>
      </w:r>
      <w:r w:rsidRPr="00546AF1">
        <w:t xml:space="preserve">about the corrupt conduct of </w:t>
      </w:r>
      <w:r w:rsidR="004E3283" w:rsidRPr="00546AF1">
        <w:t>another</w:t>
      </w:r>
      <w:r w:rsidR="00BD47DC" w:rsidRPr="00546AF1">
        <w:t>,</w:t>
      </w:r>
      <w:r w:rsidR="004E3283" w:rsidRPr="00546AF1">
        <w:t xml:space="preserve"> </w:t>
      </w:r>
      <w:r w:rsidRPr="00546AF1">
        <w:t xml:space="preserve">and </w:t>
      </w:r>
      <w:r w:rsidR="001919EB" w:rsidRPr="00546AF1">
        <w:t xml:space="preserve">perceived conflicts arising </w:t>
      </w:r>
      <w:r w:rsidRPr="00546AF1">
        <w:t xml:space="preserve">from </w:t>
      </w:r>
      <w:r w:rsidR="004E3283" w:rsidRPr="00546AF1">
        <w:t xml:space="preserve">related party </w:t>
      </w:r>
      <w:r w:rsidR="009F5C3E" w:rsidRPr="00546AF1">
        <w:rPr>
          <w:rFonts w:eastAsiaTheme="minorEastAsia"/>
        </w:rPr>
        <w:t>arrangements such as employment</w:t>
      </w:r>
      <w:r w:rsidR="000E7CF2">
        <w:rPr>
          <w:rFonts w:eastAsiaTheme="minorEastAsia"/>
        </w:rPr>
        <w:t xml:space="preserve"> and</w:t>
      </w:r>
      <w:r w:rsidR="009F5C3E" w:rsidRPr="00546AF1">
        <w:rPr>
          <w:rFonts w:eastAsiaTheme="minorEastAsia"/>
        </w:rPr>
        <w:t xml:space="preserve"> shareholdings (</w:t>
      </w:r>
      <w:proofErr w:type="gramStart"/>
      <w:r w:rsidR="009F5C3E" w:rsidRPr="00546AF1">
        <w:rPr>
          <w:rFonts w:eastAsiaTheme="minorEastAsia"/>
        </w:rPr>
        <w:t>i.e.</w:t>
      </w:r>
      <w:proofErr w:type="gramEnd"/>
      <w:r w:rsidR="009F5C3E" w:rsidRPr="00546AF1">
        <w:rPr>
          <w:rFonts w:eastAsiaTheme="minorEastAsia"/>
        </w:rPr>
        <w:t xml:space="preserve"> work </w:t>
      </w:r>
      <w:r w:rsidR="00063FEB" w:rsidRPr="00546AF1">
        <w:rPr>
          <w:rFonts w:eastAsiaTheme="minorEastAsia"/>
        </w:rPr>
        <w:t xml:space="preserve">or pecuniary interests </w:t>
      </w:r>
      <w:r w:rsidR="009F5C3E" w:rsidRPr="00546AF1">
        <w:rPr>
          <w:rFonts w:eastAsiaTheme="minorEastAsia"/>
        </w:rPr>
        <w:t>of adult children</w:t>
      </w:r>
      <w:r w:rsidR="00063FEB" w:rsidRPr="00546AF1">
        <w:rPr>
          <w:rFonts w:eastAsiaTheme="minorEastAsia"/>
        </w:rPr>
        <w:t xml:space="preserve"> or a </w:t>
      </w:r>
      <w:r w:rsidR="009F5C3E" w:rsidRPr="00546AF1">
        <w:rPr>
          <w:rFonts w:eastAsiaTheme="minorEastAsia"/>
        </w:rPr>
        <w:t>spouse).</w:t>
      </w:r>
    </w:p>
    <w:p w14:paraId="006EE548" w14:textId="77777777" w:rsidR="00DC60B5" w:rsidRPr="00546AF1" w:rsidRDefault="00DC60B5" w:rsidP="00DC60B5">
      <w:pPr>
        <w:pStyle w:val="ListParagraph"/>
        <w:rPr>
          <w:rFonts w:ascii="Times New Roman" w:eastAsiaTheme="minorEastAsia" w:hAnsi="Times New Roman"/>
        </w:rPr>
      </w:pPr>
    </w:p>
    <w:p w14:paraId="68986125" w14:textId="4BC802AF" w:rsidR="004E3283" w:rsidRPr="00546AF1" w:rsidRDefault="00033159" w:rsidP="00EB6567">
      <w:pPr>
        <w:pStyle w:val="Style1"/>
        <w:numPr>
          <w:ilvl w:val="0"/>
          <w:numId w:val="27"/>
        </w:numPr>
      </w:pPr>
      <w:r w:rsidRPr="00546AF1">
        <w:t>Directors</w:t>
      </w:r>
      <w:r w:rsidR="00047606">
        <w:noBreakHyphen/>
      </w:r>
      <w:r w:rsidRPr="00546AF1">
        <w:t xml:space="preserve">General and other </w:t>
      </w:r>
      <w:r w:rsidR="00BE4B1E" w:rsidRPr="00546AF1">
        <w:t>chief</w:t>
      </w:r>
      <w:r w:rsidRPr="00546AF1">
        <w:t xml:space="preserve"> executive officers</w:t>
      </w:r>
      <w:r w:rsidR="00304956" w:rsidRPr="00546AF1">
        <w:t xml:space="preserve"> </w:t>
      </w:r>
      <w:r w:rsidR="004E7F74" w:rsidRPr="00546AF1">
        <w:t>generally s</w:t>
      </w:r>
      <w:r w:rsidR="00304956" w:rsidRPr="00546AF1">
        <w:t xml:space="preserve">ought advice about managing conflicts of interest in relation to </w:t>
      </w:r>
      <w:r w:rsidR="00B54A2D" w:rsidRPr="00546AF1">
        <w:t xml:space="preserve">past and current </w:t>
      </w:r>
      <w:r w:rsidR="009E1A66" w:rsidRPr="00546AF1">
        <w:t xml:space="preserve">professional </w:t>
      </w:r>
      <w:r w:rsidR="00B54A2D" w:rsidRPr="00546AF1">
        <w:t>acquaintances</w:t>
      </w:r>
      <w:r w:rsidR="000E7CF2">
        <w:t>;</w:t>
      </w:r>
      <w:r w:rsidR="00B54A2D" w:rsidRPr="00546AF1">
        <w:t xml:space="preserve"> </w:t>
      </w:r>
      <w:r w:rsidR="009E1A66" w:rsidRPr="00546AF1">
        <w:t>duty</w:t>
      </w:r>
      <w:r w:rsidR="00047606">
        <w:noBreakHyphen/>
      </w:r>
      <w:r w:rsidR="009E1A66" w:rsidRPr="00546AF1">
        <w:t>on</w:t>
      </w:r>
      <w:r w:rsidR="00047606">
        <w:noBreakHyphen/>
      </w:r>
      <w:r w:rsidR="009E1A66" w:rsidRPr="00546AF1">
        <w:t xml:space="preserve">duty conflicts arising due to ongoing private business </w:t>
      </w:r>
      <w:r w:rsidR="00B54A2D" w:rsidRPr="00546AF1">
        <w:t>arrangements</w:t>
      </w:r>
      <w:r w:rsidR="00062118" w:rsidRPr="00546AF1">
        <w:t xml:space="preserve">; and </w:t>
      </w:r>
      <w:r w:rsidR="009B6EBB" w:rsidRPr="00546AF1">
        <w:t>perceived conflicts arising due to p</w:t>
      </w:r>
      <w:r w:rsidR="004E3283" w:rsidRPr="00546AF1">
        <w:t xml:space="preserve">ecuniary interests </w:t>
      </w:r>
      <w:r w:rsidRPr="00546AF1">
        <w:t xml:space="preserve">such as shareholdings. </w:t>
      </w:r>
    </w:p>
    <w:p w14:paraId="1AB6129B" w14:textId="77777777" w:rsidR="00DC60B5" w:rsidRPr="00546AF1" w:rsidRDefault="00DC60B5" w:rsidP="00DC60B5">
      <w:pPr>
        <w:pStyle w:val="ListParagraph"/>
        <w:rPr>
          <w:rFonts w:ascii="Times New Roman" w:hAnsi="Times New Roman"/>
        </w:rPr>
      </w:pPr>
    </w:p>
    <w:p w14:paraId="6CA3D8D7" w14:textId="77777777" w:rsidR="00587540" w:rsidRDefault="001B29E8" w:rsidP="00EB6567">
      <w:pPr>
        <w:pStyle w:val="Style1"/>
        <w:numPr>
          <w:ilvl w:val="0"/>
          <w:numId w:val="27"/>
        </w:numPr>
      </w:pPr>
      <w:r w:rsidRPr="00546AF1">
        <w:t>Ministerial staff</w:t>
      </w:r>
      <w:r w:rsidR="00062118" w:rsidRPr="00546AF1">
        <w:t xml:space="preserve">, </w:t>
      </w:r>
      <w:r w:rsidRPr="00546AF1">
        <w:t>together with s</w:t>
      </w:r>
      <w:r w:rsidR="009B6EBB" w:rsidRPr="00546AF1">
        <w:t>enior executives or senior officers</w:t>
      </w:r>
      <w:r w:rsidR="00062118" w:rsidRPr="00546AF1">
        <w:t>,</w:t>
      </w:r>
      <w:r w:rsidR="00F809EE" w:rsidRPr="00546AF1">
        <w:t xml:space="preserve"> </w:t>
      </w:r>
      <w:proofErr w:type="gramStart"/>
      <w:r w:rsidR="00F809EE" w:rsidRPr="00546AF1">
        <w:t>most commonly sought</w:t>
      </w:r>
      <w:proofErr w:type="gramEnd"/>
      <w:r w:rsidR="009B6EBB" w:rsidRPr="00546AF1">
        <w:t xml:space="preserve"> advice about conflicts of interest arising due to related party arrangements</w:t>
      </w:r>
      <w:r w:rsidR="00F809EE" w:rsidRPr="00546AF1">
        <w:t xml:space="preserve"> and </w:t>
      </w:r>
      <w:r w:rsidR="00275D1A" w:rsidRPr="00546AF1">
        <w:t xml:space="preserve">advice on </w:t>
      </w:r>
      <w:r w:rsidRPr="00546AF1">
        <w:t>post</w:t>
      </w:r>
      <w:r w:rsidR="00047606">
        <w:noBreakHyphen/>
      </w:r>
      <w:r w:rsidRPr="00546AF1">
        <w:t xml:space="preserve">separation obligations. </w:t>
      </w:r>
    </w:p>
    <w:p w14:paraId="64C292B6" w14:textId="77777777" w:rsidR="00587540" w:rsidRDefault="00587540" w:rsidP="00587540">
      <w:pPr>
        <w:pStyle w:val="ListParagraph"/>
      </w:pPr>
    </w:p>
    <w:p w14:paraId="5B7125DA" w14:textId="77777777" w:rsidR="00AD76EA" w:rsidRDefault="00AD76EA" w:rsidP="00EB6567">
      <w:pPr>
        <w:pStyle w:val="Style1"/>
      </w:pPr>
      <w:r>
        <w:t xml:space="preserve">Regarding any changes this year in the types of requests for advice received by the QIC, there has been a noticeable increase in the number of requests relating to concerns about corrupt conduct, bullying, and other improper conduct. </w:t>
      </w:r>
    </w:p>
    <w:p w14:paraId="2D6DD292" w14:textId="77777777" w:rsidR="00AD76EA" w:rsidRDefault="00AD76EA" w:rsidP="00EB6567">
      <w:pPr>
        <w:pStyle w:val="Style1"/>
      </w:pPr>
    </w:p>
    <w:p w14:paraId="52B3AE23" w14:textId="77777777" w:rsidR="00D420D6" w:rsidRDefault="00AD76EA" w:rsidP="00B228F1">
      <w:pPr>
        <w:pStyle w:val="Style1"/>
      </w:pPr>
      <w:r>
        <w:t>Often the concerns are disclosed when an individual</w:t>
      </w:r>
      <w:r w:rsidR="00D420D6">
        <w:t>:</w:t>
      </w:r>
    </w:p>
    <w:p w14:paraId="1ED04F12" w14:textId="4BB25D90" w:rsidR="00BF26F4" w:rsidRDefault="00C63665" w:rsidP="00D420D6">
      <w:pPr>
        <w:pStyle w:val="Style1"/>
        <w:numPr>
          <w:ilvl w:val="0"/>
          <w:numId w:val="49"/>
        </w:numPr>
      </w:pPr>
      <w:r>
        <w:t>sought</w:t>
      </w:r>
      <w:r w:rsidR="007D5701">
        <w:t xml:space="preserve"> advice about </w:t>
      </w:r>
      <w:r w:rsidR="00276789">
        <w:t>their post-separation obligations</w:t>
      </w:r>
      <w:r w:rsidR="00B71A53">
        <w:t xml:space="preserve"> in advance of leaving the public service</w:t>
      </w:r>
    </w:p>
    <w:p w14:paraId="2A86D305" w14:textId="69B6945B" w:rsidR="00BF26F4" w:rsidRDefault="00C63665" w:rsidP="00EB6567">
      <w:pPr>
        <w:pStyle w:val="Style1"/>
        <w:numPr>
          <w:ilvl w:val="0"/>
          <w:numId w:val="48"/>
        </w:numPr>
      </w:pPr>
      <w:r>
        <w:t xml:space="preserve">sought advice </w:t>
      </w:r>
      <w:r w:rsidR="00CC5100">
        <w:t>as t</w:t>
      </w:r>
      <w:r w:rsidR="00D420D6">
        <w:t>o the proper a</w:t>
      </w:r>
      <w:r w:rsidR="00355E48">
        <w:t xml:space="preserve">venue available to address the matter, </w:t>
      </w:r>
      <w:r w:rsidR="00B71A53">
        <w:t xml:space="preserve">or </w:t>
      </w:r>
    </w:p>
    <w:p w14:paraId="56180B88" w14:textId="75AF1D85" w:rsidR="00B71A53" w:rsidRDefault="00C63665" w:rsidP="00EB6567">
      <w:pPr>
        <w:pStyle w:val="Style1"/>
        <w:numPr>
          <w:ilvl w:val="0"/>
          <w:numId w:val="48"/>
        </w:numPr>
      </w:pPr>
      <w:r>
        <w:t xml:space="preserve">sought advice </w:t>
      </w:r>
      <w:r w:rsidR="006C1509">
        <w:t>having</w:t>
      </w:r>
      <w:r w:rsidR="00B71A53">
        <w:t xml:space="preserve"> exhausted every avenue available to them</w:t>
      </w:r>
      <w:r w:rsidR="00355E48">
        <w:t xml:space="preserve"> but </w:t>
      </w:r>
      <w:proofErr w:type="gramStart"/>
      <w:r w:rsidR="006C1509">
        <w:t>ultimately</w:t>
      </w:r>
      <w:proofErr w:type="gramEnd"/>
      <w:r w:rsidR="006C1509">
        <w:t xml:space="preserve"> they </w:t>
      </w:r>
      <w:r w:rsidR="00355E48">
        <w:t xml:space="preserve">were not </w:t>
      </w:r>
      <w:r w:rsidR="00B51FAB">
        <w:t>satisfied</w:t>
      </w:r>
      <w:r w:rsidR="006C1509">
        <w:t xml:space="preserve"> that </w:t>
      </w:r>
      <w:r w:rsidR="00355E48">
        <w:t>they had done all they were obliged</w:t>
      </w:r>
      <w:r w:rsidR="00E41DEF">
        <w:t xml:space="preserve"> to do </w:t>
      </w:r>
      <w:r>
        <w:t>under a standard or code</w:t>
      </w:r>
      <w:r w:rsidR="00E41DEF">
        <w:t xml:space="preserve">. </w:t>
      </w:r>
      <w:r w:rsidR="00355E48">
        <w:t xml:space="preserve"> </w:t>
      </w:r>
    </w:p>
    <w:p w14:paraId="1A4A3240" w14:textId="29E08527" w:rsidR="00E12B5C" w:rsidRDefault="00E12B5C" w:rsidP="00EB6567">
      <w:pPr>
        <w:pStyle w:val="Style1"/>
      </w:pPr>
    </w:p>
    <w:p w14:paraId="66FC5941" w14:textId="580B0F14" w:rsidR="00003673" w:rsidRPr="00546AF1" w:rsidRDefault="00003673" w:rsidP="00F41A4B">
      <w:pPr>
        <w:pStyle w:val="Heading3"/>
      </w:pPr>
      <w:bookmarkStart w:id="45" w:name="_Toc83731438"/>
      <w:bookmarkStart w:id="46" w:name="_Toc83802766"/>
      <w:bookmarkStart w:id="47" w:name="_Toc83822851"/>
      <w:r w:rsidRPr="00546AF1">
        <w:t>Effect of interim service limit</w:t>
      </w:r>
      <w:bookmarkEnd w:id="45"/>
      <w:bookmarkEnd w:id="46"/>
      <w:bookmarkEnd w:id="47"/>
    </w:p>
    <w:p w14:paraId="55A897CD" w14:textId="70145773" w:rsidR="009F6FE5" w:rsidRPr="00510440" w:rsidRDefault="006F369B" w:rsidP="00A65F41">
      <w:pPr>
        <w:spacing w:after="120" w:line="276" w:lineRule="auto"/>
        <w:rPr>
          <w:rFonts w:ascii="Times New Roman" w:hAnsi="Times New Roman"/>
          <w:szCs w:val="20"/>
        </w:rPr>
      </w:pPr>
      <w:r w:rsidRPr="00510440">
        <w:rPr>
          <w:rFonts w:ascii="Times New Roman" w:hAnsi="Times New Roman"/>
          <w:szCs w:val="20"/>
        </w:rPr>
        <w:t>T</w:t>
      </w:r>
      <w:r w:rsidR="00EF50F2" w:rsidRPr="00510440">
        <w:rPr>
          <w:rFonts w:ascii="Times New Roman" w:hAnsi="Times New Roman"/>
          <w:szCs w:val="20"/>
        </w:rPr>
        <w:t xml:space="preserve">he </w:t>
      </w:r>
      <w:r w:rsidR="000E7CF2" w:rsidRPr="00510440">
        <w:rPr>
          <w:rFonts w:ascii="Times New Roman" w:hAnsi="Times New Roman"/>
          <w:szCs w:val="20"/>
        </w:rPr>
        <w:t xml:space="preserve">QIC </w:t>
      </w:r>
      <w:r w:rsidR="00EF50F2" w:rsidRPr="00510440">
        <w:rPr>
          <w:rFonts w:ascii="Times New Roman" w:hAnsi="Times New Roman"/>
          <w:szCs w:val="20"/>
        </w:rPr>
        <w:t xml:space="preserve">did not provide advice on 68 </w:t>
      </w:r>
      <w:r w:rsidR="008E43D0" w:rsidRPr="00510440">
        <w:rPr>
          <w:rFonts w:ascii="Times New Roman" w:hAnsi="Times New Roman"/>
          <w:szCs w:val="20"/>
        </w:rPr>
        <w:t>of the 233 occasions where advice was requested</w:t>
      </w:r>
      <w:r w:rsidR="009F6FE5" w:rsidRPr="00510440">
        <w:rPr>
          <w:rFonts w:ascii="Times New Roman" w:hAnsi="Times New Roman"/>
          <w:szCs w:val="20"/>
        </w:rPr>
        <w:t>. O</w:t>
      </w:r>
      <w:r w:rsidR="0047363C" w:rsidRPr="00510440">
        <w:rPr>
          <w:rFonts w:ascii="Times New Roman" w:hAnsi="Times New Roman"/>
          <w:szCs w:val="20"/>
        </w:rPr>
        <w:t xml:space="preserve">n each occasion </w:t>
      </w:r>
      <w:r w:rsidR="008E43D0" w:rsidRPr="00510440">
        <w:rPr>
          <w:rFonts w:ascii="Times New Roman" w:hAnsi="Times New Roman"/>
          <w:szCs w:val="20"/>
        </w:rPr>
        <w:t xml:space="preserve">the affected party was advised to </w:t>
      </w:r>
      <w:r w:rsidR="00314A4F" w:rsidRPr="00510440">
        <w:rPr>
          <w:rFonts w:ascii="Times New Roman" w:hAnsi="Times New Roman"/>
          <w:szCs w:val="20"/>
        </w:rPr>
        <w:t>seek alternative resources</w:t>
      </w:r>
      <w:r w:rsidR="000C38A1" w:rsidRPr="00510440">
        <w:rPr>
          <w:rFonts w:ascii="Times New Roman" w:hAnsi="Times New Roman"/>
          <w:szCs w:val="20"/>
        </w:rPr>
        <w:t xml:space="preserve"> </w:t>
      </w:r>
      <w:r w:rsidR="000E7CF2" w:rsidRPr="00510440">
        <w:rPr>
          <w:rFonts w:ascii="Times New Roman" w:hAnsi="Times New Roman"/>
          <w:szCs w:val="20"/>
        </w:rPr>
        <w:t xml:space="preserve">of advice </w:t>
      </w:r>
      <w:r w:rsidR="000C38A1" w:rsidRPr="00510440">
        <w:rPr>
          <w:rFonts w:ascii="Times New Roman" w:hAnsi="Times New Roman"/>
          <w:szCs w:val="20"/>
        </w:rPr>
        <w:t xml:space="preserve">and details of such avenues was provided. </w:t>
      </w:r>
    </w:p>
    <w:p w14:paraId="4B6A1901" w14:textId="7A178E44" w:rsidR="00314A4F" w:rsidRPr="00510440" w:rsidRDefault="007240AF" w:rsidP="005832E9">
      <w:pPr>
        <w:spacing w:after="120" w:line="276" w:lineRule="auto"/>
        <w:rPr>
          <w:rFonts w:ascii="Times New Roman" w:hAnsi="Times New Roman"/>
          <w:szCs w:val="20"/>
        </w:rPr>
      </w:pPr>
      <w:r w:rsidRPr="00510440">
        <w:rPr>
          <w:rFonts w:ascii="Times New Roman" w:hAnsi="Times New Roman"/>
          <w:szCs w:val="20"/>
        </w:rPr>
        <w:lastRenderedPageBreak/>
        <w:t xml:space="preserve">This inability </w:t>
      </w:r>
      <w:r w:rsidR="00872BE7" w:rsidRPr="00510440">
        <w:rPr>
          <w:rFonts w:ascii="Times New Roman" w:hAnsi="Times New Roman"/>
          <w:szCs w:val="20"/>
        </w:rPr>
        <w:t xml:space="preserve">to meet demand </w:t>
      </w:r>
      <w:r w:rsidRPr="00510440">
        <w:rPr>
          <w:rFonts w:ascii="Times New Roman" w:hAnsi="Times New Roman"/>
          <w:szCs w:val="20"/>
        </w:rPr>
        <w:t>resulted from a gap between demand and resourcing</w:t>
      </w:r>
      <w:r w:rsidR="000E7CF2" w:rsidRPr="00510440">
        <w:rPr>
          <w:rFonts w:ascii="Times New Roman" w:hAnsi="Times New Roman"/>
          <w:szCs w:val="20"/>
        </w:rPr>
        <w:t>. In response,</w:t>
      </w:r>
      <w:r w:rsidR="00DB6AA1" w:rsidRPr="00510440">
        <w:rPr>
          <w:rFonts w:ascii="Times New Roman" w:hAnsi="Times New Roman"/>
          <w:szCs w:val="20"/>
        </w:rPr>
        <w:t xml:space="preserve"> the </w:t>
      </w:r>
      <w:r w:rsidR="000E7CF2" w:rsidRPr="00510440">
        <w:rPr>
          <w:rFonts w:ascii="Times New Roman" w:hAnsi="Times New Roman"/>
          <w:szCs w:val="20"/>
        </w:rPr>
        <w:t xml:space="preserve">QIC </w:t>
      </w:r>
      <w:r w:rsidR="008D6C53" w:rsidRPr="00510440">
        <w:rPr>
          <w:rFonts w:ascii="Times New Roman" w:hAnsi="Times New Roman"/>
          <w:szCs w:val="20"/>
        </w:rPr>
        <w:t>prioritise</w:t>
      </w:r>
      <w:r w:rsidR="00DB6AA1" w:rsidRPr="00510440">
        <w:rPr>
          <w:rFonts w:ascii="Times New Roman" w:hAnsi="Times New Roman"/>
          <w:szCs w:val="20"/>
        </w:rPr>
        <w:t>d</w:t>
      </w:r>
      <w:r w:rsidR="008D6C53" w:rsidRPr="00510440">
        <w:rPr>
          <w:rFonts w:ascii="Times New Roman" w:hAnsi="Times New Roman"/>
          <w:szCs w:val="20"/>
        </w:rPr>
        <w:t xml:space="preserve"> </w:t>
      </w:r>
      <w:r w:rsidR="009B7787" w:rsidRPr="00510440">
        <w:rPr>
          <w:rFonts w:ascii="Times New Roman" w:hAnsi="Times New Roman"/>
          <w:szCs w:val="20"/>
        </w:rPr>
        <w:t xml:space="preserve">requests from </w:t>
      </w:r>
      <w:r w:rsidR="000E7CF2" w:rsidRPr="00510440">
        <w:rPr>
          <w:rFonts w:ascii="Times New Roman" w:hAnsi="Times New Roman"/>
          <w:szCs w:val="20"/>
        </w:rPr>
        <w:t xml:space="preserve">MPs </w:t>
      </w:r>
      <w:r w:rsidR="009B7787" w:rsidRPr="00510440">
        <w:rPr>
          <w:rFonts w:ascii="Times New Roman" w:hAnsi="Times New Roman"/>
          <w:szCs w:val="20"/>
        </w:rPr>
        <w:t xml:space="preserve">and </w:t>
      </w:r>
      <w:r w:rsidR="00912863" w:rsidRPr="00510440">
        <w:rPr>
          <w:rFonts w:ascii="Times New Roman" w:hAnsi="Times New Roman"/>
          <w:szCs w:val="20"/>
        </w:rPr>
        <w:t xml:space="preserve">other </w:t>
      </w:r>
      <w:r w:rsidR="008D6C53" w:rsidRPr="00510440">
        <w:rPr>
          <w:rFonts w:ascii="Times New Roman" w:hAnsi="Times New Roman"/>
          <w:szCs w:val="20"/>
        </w:rPr>
        <w:t>matters involving substantive public interest issues</w:t>
      </w:r>
      <w:r w:rsidR="000E7CF2" w:rsidRPr="00510440">
        <w:rPr>
          <w:rFonts w:ascii="Times New Roman" w:hAnsi="Times New Roman"/>
          <w:szCs w:val="20"/>
        </w:rPr>
        <w:t>,</w:t>
      </w:r>
      <w:r w:rsidR="008B6B84" w:rsidRPr="00510440">
        <w:rPr>
          <w:rFonts w:ascii="Times New Roman" w:hAnsi="Times New Roman"/>
          <w:szCs w:val="20"/>
        </w:rPr>
        <w:t xml:space="preserve"> </w:t>
      </w:r>
      <w:r w:rsidR="000E7CF2" w:rsidRPr="00510440">
        <w:rPr>
          <w:rFonts w:ascii="Times New Roman" w:hAnsi="Times New Roman"/>
          <w:szCs w:val="20"/>
        </w:rPr>
        <w:t xml:space="preserve">as opposed to </w:t>
      </w:r>
      <w:r w:rsidR="00912863" w:rsidRPr="00510440">
        <w:rPr>
          <w:rFonts w:ascii="Times New Roman" w:hAnsi="Times New Roman"/>
          <w:szCs w:val="20"/>
        </w:rPr>
        <w:t xml:space="preserve">requests from </w:t>
      </w:r>
      <w:r w:rsidR="004179AE" w:rsidRPr="00510440">
        <w:rPr>
          <w:rFonts w:ascii="Times New Roman" w:hAnsi="Times New Roman"/>
          <w:szCs w:val="20"/>
        </w:rPr>
        <w:t>individuals</w:t>
      </w:r>
      <w:r w:rsidR="00912863" w:rsidRPr="00510440">
        <w:rPr>
          <w:rFonts w:ascii="Times New Roman" w:hAnsi="Times New Roman"/>
          <w:szCs w:val="20"/>
        </w:rPr>
        <w:t xml:space="preserve"> about their </w:t>
      </w:r>
      <w:r w:rsidR="0007676A" w:rsidRPr="00510440">
        <w:rPr>
          <w:rFonts w:ascii="Times New Roman" w:hAnsi="Times New Roman"/>
          <w:szCs w:val="20"/>
        </w:rPr>
        <w:t xml:space="preserve">personal obligations </w:t>
      </w:r>
      <w:r w:rsidR="00872BE7" w:rsidRPr="00510440">
        <w:rPr>
          <w:rFonts w:ascii="Times New Roman" w:hAnsi="Times New Roman"/>
          <w:szCs w:val="20"/>
        </w:rPr>
        <w:t>or more minor matters</w:t>
      </w:r>
      <w:r w:rsidR="008B6B84" w:rsidRPr="00510440">
        <w:rPr>
          <w:rFonts w:ascii="Times New Roman" w:hAnsi="Times New Roman"/>
          <w:szCs w:val="20"/>
        </w:rPr>
        <w:t xml:space="preserve"> which could be dealt with via other, more appropriate avenues of assistance. In this regard, the </w:t>
      </w:r>
      <w:r w:rsidR="000E7CF2" w:rsidRPr="00510440">
        <w:rPr>
          <w:rFonts w:ascii="Times New Roman" w:hAnsi="Times New Roman"/>
          <w:szCs w:val="20"/>
        </w:rPr>
        <w:t xml:space="preserve">QIC </w:t>
      </w:r>
      <w:r w:rsidR="008B6B84" w:rsidRPr="00510440">
        <w:rPr>
          <w:rFonts w:ascii="Times New Roman" w:hAnsi="Times New Roman"/>
          <w:szCs w:val="20"/>
        </w:rPr>
        <w:t xml:space="preserve">deemed that: </w:t>
      </w:r>
    </w:p>
    <w:p w14:paraId="404E216A" w14:textId="0D4CEA56" w:rsidR="00314A4F" w:rsidRPr="00510440" w:rsidRDefault="00314A4F" w:rsidP="00710D72">
      <w:pPr>
        <w:pStyle w:val="ListParagraph"/>
        <w:numPr>
          <w:ilvl w:val="0"/>
          <w:numId w:val="23"/>
        </w:numPr>
        <w:spacing w:before="0" w:after="0"/>
        <w:ind w:left="714" w:hanging="357"/>
        <w:rPr>
          <w:rFonts w:ascii="Times New Roman" w:hAnsi="Times New Roman"/>
          <w:szCs w:val="20"/>
        </w:rPr>
      </w:pPr>
      <w:r w:rsidRPr="00510440">
        <w:rPr>
          <w:rFonts w:ascii="Times New Roman" w:hAnsi="Times New Roman"/>
          <w:szCs w:val="20"/>
        </w:rPr>
        <w:t xml:space="preserve">16 requests were </w:t>
      </w:r>
      <w:r w:rsidR="007D6CB2" w:rsidRPr="00510440">
        <w:rPr>
          <w:rFonts w:ascii="Times New Roman" w:hAnsi="Times New Roman"/>
          <w:szCs w:val="20"/>
        </w:rPr>
        <w:t xml:space="preserve">not </w:t>
      </w:r>
      <w:r w:rsidR="00A7540A" w:rsidRPr="00510440">
        <w:rPr>
          <w:rFonts w:ascii="Times New Roman" w:hAnsi="Times New Roman"/>
          <w:szCs w:val="20"/>
        </w:rPr>
        <w:t xml:space="preserve">discrete </w:t>
      </w:r>
      <w:r w:rsidR="00177802" w:rsidRPr="00510440">
        <w:rPr>
          <w:rFonts w:ascii="Times New Roman" w:hAnsi="Times New Roman"/>
          <w:szCs w:val="20"/>
        </w:rPr>
        <w:t xml:space="preserve">and/ or </w:t>
      </w:r>
      <w:r w:rsidR="007D6CB2" w:rsidRPr="00510440">
        <w:rPr>
          <w:rFonts w:ascii="Times New Roman" w:hAnsi="Times New Roman"/>
          <w:szCs w:val="20"/>
        </w:rPr>
        <w:t xml:space="preserve">substantive ethics and integrity issues but </w:t>
      </w:r>
      <w:r w:rsidR="00177802" w:rsidRPr="00510440">
        <w:rPr>
          <w:rFonts w:ascii="Times New Roman" w:hAnsi="Times New Roman"/>
          <w:szCs w:val="20"/>
        </w:rPr>
        <w:t xml:space="preserve">instead </w:t>
      </w:r>
      <w:r w:rsidR="007D6CB2" w:rsidRPr="00510440">
        <w:rPr>
          <w:rFonts w:ascii="Times New Roman" w:hAnsi="Times New Roman"/>
          <w:szCs w:val="20"/>
        </w:rPr>
        <w:t xml:space="preserve">were </w:t>
      </w:r>
      <w:r w:rsidRPr="00510440">
        <w:rPr>
          <w:rFonts w:ascii="Times New Roman" w:hAnsi="Times New Roman"/>
          <w:szCs w:val="20"/>
        </w:rPr>
        <w:t>policy, l</w:t>
      </w:r>
      <w:r w:rsidR="007D6CB2" w:rsidRPr="00510440">
        <w:rPr>
          <w:rFonts w:ascii="Times New Roman" w:hAnsi="Times New Roman"/>
          <w:szCs w:val="20"/>
        </w:rPr>
        <w:t>aw</w:t>
      </w:r>
      <w:r w:rsidR="00A7540A" w:rsidRPr="00510440">
        <w:rPr>
          <w:rFonts w:ascii="Times New Roman" w:hAnsi="Times New Roman"/>
          <w:szCs w:val="20"/>
        </w:rPr>
        <w:t>,</w:t>
      </w:r>
      <w:r w:rsidRPr="00510440">
        <w:rPr>
          <w:rFonts w:ascii="Times New Roman" w:hAnsi="Times New Roman"/>
          <w:szCs w:val="20"/>
        </w:rPr>
        <w:t xml:space="preserve"> or administrative matters</w:t>
      </w:r>
      <w:r w:rsidR="00384C8E" w:rsidRPr="00510440">
        <w:rPr>
          <w:rFonts w:ascii="Times New Roman" w:hAnsi="Times New Roman"/>
          <w:szCs w:val="20"/>
        </w:rPr>
        <w:t>. A</w:t>
      </w:r>
      <w:r w:rsidR="00434E98" w:rsidRPr="00510440">
        <w:rPr>
          <w:rFonts w:ascii="Times New Roman" w:hAnsi="Times New Roman"/>
          <w:szCs w:val="20"/>
        </w:rPr>
        <w:t xml:space="preserve">dvisees were referred to a more appropriate </w:t>
      </w:r>
      <w:r w:rsidRPr="00510440">
        <w:rPr>
          <w:rFonts w:ascii="Times New Roman" w:hAnsi="Times New Roman"/>
          <w:szCs w:val="20"/>
        </w:rPr>
        <w:t>agency</w:t>
      </w:r>
      <w:r w:rsidR="0063457E" w:rsidRPr="00510440">
        <w:rPr>
          <w:rFonts w:ascii="Times New Roman" w:hAnsi="Times New Roman"/>
        </w:rPr>
        <w:t xml:space="preserve"> </w:t>
      </w:r>
    </w:p>
    <w:p w14:paraId="056C02E2" w14:textId="6E8F11F4" w:rsidR="00314A4F" w:rsidRPr="00510440" w:rsidRDefault="00314A4F" w:rsidP="00710D72">
      <w:pPr>
        <w:pStyle w:val="ListParagraph"/>
        <w:numPr>
          <w:ilvl w:val="0"/>
          <w:numId w:val="23"/>
        </w:numPr>
        <w:spacing w:before="0" w:after="0"/>
        <w:ind w:left="714" w:hanging="357"/>
        <w:rPr>
          <w:rFonts w:ascii="Times New Roman" w:hAnsi="Times New Roman"/>
          <w:szCs w:val="20"/>
        </w:rPr>
      </w:pPr>
      <w:r w:rsidRPr="00510440">
        <w:rPr>
          <w:rFonts w:ascii="Times New Roman" w:hAnsi="Times New Roman"/>
          <w:szCs w:val="20"/>
        </w:rPr>
        <w:t>11 requests were dealt with by preliminary oral or written opinion only</w:t>
      </w:r>
      <w:r w:rsidR="00434E98" w:rsidRPr="00510440">
        <w:rPr>
          <w:rFonts w:ascii="Times New Roman" w:hAnsi="Times New Roman"/>
          <w:szCs w:val="20"/>
        </w:rPr>
        <w:t>, and</w:t>
      </w:r>
    </w:p>
    <w:p w14:paraId="6384AB4C" w14:textId="05CED05A" w:rsidR="00314A4F" w:rsidRPr="00510440" w:rsidRDefault="00314A4F" w:rsidP="00710D72">
      <w:pPr>
        <w:pStyle w:val="ListParagraph"/>
        <w:numPr>
          <w:ilvl w:val="0"/>
          <w:numId w:val="23"/>
        </w:numPr>
        <w:spacing w:before="0" w:after="0"/>
        <w:ind w:left="714" w:hanging="357"/>
        <w:rPr>
          <w:rFonts w:ascii="Times New Roman" w:hAnsi="Times New Roman"/>
          <w:szCs w:val="20"/>
        </w:rPr>
      </w:pPr>
      <w:r w:rsidRPr="00510440">
        <w:rPr>
          <w:rFonts w:ascii="Times New Roman" w:hAnsi="Times New Roman"/>
          <w:szCs w:val="20"/>
        </w:rPr>
        <w:t xml:space="preserve">8 requests were withdrawn </w:t>
      </w:r>
      <w:r w:rsidR="000E7CF2" w:rsidRPr="00510440">
        <w:rPr>
          <w:rFonts w:ascii="Times New Roman" w:hAnsi="Times New Roman"/>
          <w:szCs w:val="20"/>
        </w:rPr>
        <w:t xml:space="preserve">at </w:t>
      </w:r>
      <w:r w:rsidR="00270526">
        <w:rPr>
          <w:rFonts w:ascii="Times New Roman" w:hAnsi="Times New Roman"/>
          <w:szCs w:val="20"/>
        </w:rPr>
        <w:t xml:space="preserve">the </w:t>
      </w:r>
      <w:r w:rsidRPr="00510440">
        <w:rPr>
          <w:rFonts w:ascii="Times New Roman" w:hAnsi="Times New Roman"/>
          <w:szCs w:val="20"/>
        </w:rPr>
        <w:t>request of the advisee</w:t>
      </w:r>
      <w:r w:rsidR="00434E98" w:rsidRPr="00510440">
        <w:rPr>
          <w:rFonts w:ascii="Times New Roman" w:hAnsi="Times New Roman"/>
          <w:szCs w:val="20"/>
        </w:rPr>
        <w:t xml:space="preserve">, primarily due to the extent of the delay </w:t>
      </w:r>
      <w:r w:rsidR="00A65F41" w:rsidRPr="00510440">
        <w:rPr>
          <w:rFonts w:ascii="Times New Roman" w:hAnsi="Times New Roman"/>
          <w:szCs w:val="20"/>
        </w:rPr>
        <w:t xml:space="preserve">expected in receiving advice. </w:t>
      </w:r>
    </w:p>
    <w:p w14:paraId="068B671D" w14:textId="77777777" w:rsidR="00770883" w:rsidRPr="00546AF1" w:rsidRDefault="00770883" w:rsidP="00BE4B1E">
      <w:pPr>
        <w:rPr>
          <w:rFonts w:ascii="Times New Roman" w:hAnsi="Times New Roman"/>
        </w:rPr>
      </w:pPr>
    </w:p>
    <w:p w14:paraId="18FC46C6" w14:textId="77777777" w:rsidR="00673843" w:rsidRPr="00546AF1" w:rsidRDefault="00673843" w:rsidP="00F41A4B">
      <w:pPr>
        <w:pStyle w:val="Heading3"/>
      </w:pPr>
      <w:bookmarkStart w:id="48" w:name="_Toc83731439"/>
      <w:bookmarkStart w:id="49" w:name="_Toc83802767"/>
      <w:bookmarkStart w:id="50" w:name="_Toc83822852"/>
      <w:r w:rsidRPr="00546AF1">
        <w:t>Response Times</w:t>
      </w:r>
      <w:bookmarkEnd w:id="48"/>
      <w:bookmarkEnd w:id="49"/>
      <w:bookmarkEnd w:id="50"/>
      <w:r w:rsidRPr="00546AF1">
        <w:t xml:space="preserve"> </w:t>
      </w:r>
    </w:p>
    <w:p w14:paraId="3EE0BFD2" w14:textId="77777777" w:rsidR="003E4E40" w:rsidRPr="00546AF1" w:rsidRDefault="0012678C" w:rsidP="00EB6567">
      <w:pPr>
        <w:pStyle w:val="Style1"/>
      </w:pPr>
      <w:proofErr w:type="gramStart"/>
      <w:r w:rsidRPr="00546AF1">
        <w:t>Advices</w:t>
      </w:r>
      <w:proofErr w:type="gramEnd"/>
      <w:r w:rsidRPr="00546AF1">
        <w:t xml:space="preserve"> are </w:t>
      </w:r>
      <w:r w:rsidR="00094522" w:rsidRPr="00546AF1">
        <w:t>prioritise</w:t>
      </w:r>
      <w:r w:rsidRPr="00546AF1">
        <w:t xml:space="preserve">d on the </w:t>
      </w:r>
      <w:r w:rsidR="00A04D95" w:rsidRPr="00546AF1">
        <w:t>b</w:t>
      </w:r>
      <w:r w:rsidR="00094522" w:rsidRPr="00546AF1">
        <w:t xml:space="preserve">asis of </w:t>
      </w:r>
      <w:r w:rsidR="00A04D95" w:rsidRPr="00546AF1">
        <w:t xml:space="preserve">risk to the </w:t>
      </w:r>
      <w:r w:rsidR="00094522" w:rsidRPr="00546AF1">
        <w:t xml:space="preserve">public interest and not dealt with on a ‘first come–first served’ basis. </w:t>
      </w:r>
    </w:p>
    <w:p w14:paraId="5852615F" w14:textId="77777777" w:rsidR="003E4E40" w:rsidRPr="00546AF1" w:rsidRDefault="003E4E40" w:rsidP="00EB6567">
      <w:pPr>
        <w:pStyle w:val="Style1"/>
      </w:pPr>
    </w:p>
    <w:p w14:paraId="598D8343" w14:textId="2B9D4F87" w:rsidR="00094522" w:rsidRPr="00546AF1" w:rsidRDefault="00A36864" w:rsidP="00EB6567">
      <w:pPr>
        <w:pStyle w:val="Style1"/>
      </w:pPr>
      <w:r w:rsidRPr="00546AF1">
        <w:t xml:space="preserve">Further, it </w:t>
      </w:r>
      <w:r w:rsidR="00094522" w:rsidRPr="00546AF1">
        <w:t xml:space="preserve">is common that the work of the </w:t>
      </w:r>
      <w:r w:rsidR="008C27A4" w:rsidRPr="00546AF1">
        <w:t>QIC</w:t>
      </w:r>
      <w:r w:rsidR="0063520F" w:rsidRPr="00546AF1">
        <w:t xml:space="preserve"> </w:t>
      </w:r>
      <w:r w:rsidR="00094522" w:rsidRPr="00546AF1">
        <w:t xml:space="preserve">involves </w:t>
      </w:r>
      <w:r w:rsidR="000E7CF2">
        <w:t xml:space="preserve">prioritising </w:t>
      </w:r>
      <w:r w:rsidR="00094522" w:rsidRPr="00546AF1">
        <w:t xml:space="preserve">urgent matters </w:t>
      </w:r>
      <w:r w:rsidR="000E7CF2">
        <w:t xml:space="preserve">as they </w:t>
      </w:r>
      <w:r w:rsidR="00094522" w:rsidRPr="00546AF1">
        <w:t>arise</w:t>
      </w:r>
      <w:r w:rsidR="000E7CF2">
        <w:t>,</w:t>
      </w:r>
      <w:r w:rsidR="00094522" w:rsidRPr="00546AF1">
        <w:t xml:space="preserve"> and </w:t>
      </w:r>
      <w:r w:rsidR="000E7CF2">
        <w:t xml:space="preserve">which </w:t>
      </w:r>
      <w:r w:rsidR="00094522" w:rsidRPr="00546AF1">
        <w:t xml:space="preserve">must be dealt with </w:t>
      </w:r>
      <w:r w:rsidR="000E7CF2">
        <w:t xml:space="preserve">appropriately </w:t>
      </w:r>
      <w:r w:rsidR="00094522" w:rsidRPr="00546AF1">
        <w:t xml:space="preserve">before a meeting in which a relevant decision will be made, for example a meeting of a </w:t>
      </w:r>
      <w:r w:rsidR="00B17A87" w:rsidRPr="00546AF1">
        <w:t xml:space="preserve">Government </w:t>
      </w:r>
      <w:r w:rsidR="00094522" w:rsidRPr="00546AF1">
        <w:t xml:space="preserve">Board or of Cabinet. </w:t>
      </w:r>
    </w:p>
    <w:p w14:paraId="2133E5D6" w14:textId="77777777" w:rsidR="00673843" w:rsidRPr="00546AF1" w:rsidRDefault="00673843" w:rsidP="00EB6567">
      <w:pPr>
        <w:pStyle w:val="Style1"/>
      </w:pPr>
    </w:p>
    <w:p w14:paraId="415F1D3A" w14:textId="5282B7F6" w:rsidR="00B17A87" w:rsidRPr="00546AF1" w:rsidRDefault="00673843" w:rsidP="00EB6567">
      <w:pPr>
        <w:pStyle w:val="Style1"/>
      </w:pPr>
      <w:r w:rsidRPr="00546AF1">
        <w:t xml:space="preserve">The sustained demand for advice from the </w:t>
      </w:r>
      <w:r w:rsidR="000E7CF2">
        <w:t>QIC</w:t>
      </w:r>
      <w:r w:rsidRPr="00546AF1">
        <w:t xml:space="preserve">, </w:t>
      </w:r>
      <w:r w:rsidR="000E7CF2">
        <w:t xml:space="preserve">unscheduled reductions </w:t>
      </w:r>
      <w:r w:rsidR="003E4E40" w:rsidRPr="00546AF1">
        <w:t xml:space="preserve">in staffing, </w:t>
      </w:r>
      <w:r w:rsidRPr="00546AF1">
        <w:t xml:space="preserve">the inability of the </w:t>
      </w:r>
      <w:r w:rsidR="008C27A4" w:rsidRPr="00546AF1">
        <w:t>QIC</w:t>
      </w:r>
      <w:r w:rsidR="0063520F" w:rsidRPr="00546AF1">
        <w:t xml:space="preserve"> </w:t>
      </w:r>
      <w:r w:rsidRPr="00546AF1">
        <w:t>to delegate the function</w:t>
      </w:r>
      <w:r w:rsidR="000E7CF2">
        <w:t xml:space="preserve"> of providing advice</w:t>
      </w:r>
      <w:r w:rsidRPr="00546AF1">
        <w:t xml:space="preserve">, and the increasing range and complexity </w:t>
      </w:r>
      <w:r w:rsidR="000E7CF2">
        <w:t xml:space="preserve">requests for </w:t>
      </w:r>
      <w:r w:rsidRPr="00546AF1">
        <w:t xml:space="preserve">advice has led to an increase in overall response times in comparison to previous years. </w:t>
      </w:r>
    </w:p>
    <w:p w14:paraId="54397BF2" w14:textId="77777777" w:rsidR="00B17A87" w:rsidRPr="00546AF1" w:rsidRDefault="00B17A87" w:rsidP="00EB6567">
      <w:pPr>
        <w:pStyle w:val="Style1"/>
      </w:pPr>
    </w:p>
    <w:p w14:paraId="5F04F64B" w14:textId="503533A5" w:rsidR="00673843" w:rsidRPr="00546AF1" w:rsidRDefault="00A3564B" w:rsidP="00EB6567">
      <w:pPr>
        <w:pStyle w:val="Style1"/>
      </w:pPr>
      <w:r w:rsidRPr="00546AF1">
        <w:t>However, urgent matters, that is</w:t>
      </w:r>
      <w:r w:rsidR="00EA1390" w:rsidRPr="00546AF1">
        <w:t>,</w:t>
      </w:r>
      <w:r w:rsidRPr="00546AF1">
        <w:t xml:space="preserve"> those </w:t>
      </w:r>
      <w:r w:rsidR="00EA1390" w:rsidRPr="00546AF1">
        <w:t xml:space="preserve">matters involving </w:t>
      </w:r>
      <w:r w:rsidRPr="00546AF1">
        <w:t xml:space="preserve">a substantial public interest </w:t>
      </w:r>
      <w:r w:rsidR="00AB42EC" w:rsidRPr="00546AF1">
        <w:t>issue,</w:t>
      </w:r>
      <w:r w:rsidRPr="00546AF1">
        <w:t xml:space="preserve"> and which </w:t>
      </w:r>
      <w:r w:rsidR="004512C8" w:rsidRPr="00546AF1">
        <w:t xml:space="preserve">require an </w:t>
      </w:r>
      <w:r w:rsidRPr="00546AF1">
        <w:t>urgent response</w:t>
      </w:r>
      <w:r w:rsidR="00270526">
        <w:t>,</w:t>
      </w:r>
      <w:r w:rsidRPr="00546AF1">
        <w:t xml:space="preserve"> are generally dealt on the same day they are received. </w:t>
      </w:r>
      <w:r w:rsidR="000E7CF2">
        <w:t>In addition</w:t>
      </w:r>
      <w:r w:rsidR="003D52B3" w:rsidRPr="00546AF1">
        <w:t xml:space="preserve">, </w:t>
      </w:r>
      <w:r w:rsidR="00D41BDE" w:rsidRPr="00546AF1">
        <w:t xml:space="preserve">other high priority matters are </w:t>
      </w:r>
      <w:r w:rsidR="000E7CF2">
        <w:t>routinely assessed</w:t>
      </w:r>
      <w:r w:rsidR="000E7CF2" w:rsidRPr="00546AF1">
        <w:t xml:space="preserve"> </w:t>
      </w:r>
      <w:proofErr w:type="gramStart"/>
      <w:r w:rsidR="00D41BDE" w:rsidRPr="00546AF1">
        <w:t>and also</w:t>
      </w:r>
      <w:proofErr w:type="gramEnd"/>
      <w:r w:rsidR="00D41BDE" w:rsidRPr="00546AF1">
        <w:t xml:space="preserve"> dealt with on the same day</w:t>
      </w:r>
      <w:r w:rsidR="000E7CF2">
        <w:t>,</w:t>
      </w:r>
      <w:r w:rsidR="00D41BDE" w:rsidRPr="00546AF1">
        <w:t xml:space="preserve"> or within </w:t>
      </w:r>
      <w:r w:rsidR="00805A4A">
        <w:t xml:space="preserve">three </w:t>
      </w:r>
      <w:r w:rsidR="00D41BDE" w:rsidRPr="00546AF1">
        <w:t xml:space="preserve">working days. </w:t>
      </w:r>
    </w:p>
    <w:p w14:paraId="5C6973E3" w14:textId="79C60B37" w:rsidR="00673843" w:rsidRPr="00546AF1" w:rsidRDefault="00673843" w:rsidP="00EB6567">
      <w:pPr>
        <w:pStyle w:val="Style1"/>
      </w:pPr>
    </w:p>
    <w:p w14:paraId="548FA0BB" w14:textId="377F9A75" w:rsidR="00673843" w:rsidRPr="00EB160F" w:rsidRDefault="00FA4704" w:rsidP="00EB6567">
      <w:pPr>
        <w:pStyle w:val="Style1"/>
      </w:pPr>
      <w:r w:rsidRPr="00EB160F">
        <w:t>Overall, d</w:t>
      </w:r>
      <w:r w:rsidR="00673843" w:rsidRPr="00EB160F">
        <w:t>uring the 2020</w:t>
      </w:r>
      <w:r w:rsidR="00047606">
        <w:noBreakHyphen/>
      </w:r>
      <w:r w:rsidR="00673843" w:rsidRPr="00EB160F">
        <w:t>21 financial year:</w:t>
      </w:r>
    </w:p>
    <w:p w14:paraId="25161AE6" w14:textId="4974CEF1" w:rsidR="00673843" w:rsidRPr="00EB160F" w:rsidRDefault="00673843" w:rsidP="00EB6567">
      <w:pPr>
        <w:pStyle w:val="Style1"/>
        <w:numPr>
          <w:ilvl w:val="0"/>
          <w:numId w:val="28"/>
        </w:numPr>
      </w:pPr>
      <w:r w:rsidRPr="00EB160F">
        <w:t xml:space="preserve">41% of all advice requests were met with formal advice from the </w:t>
      </w:r>
      <w:r w:rsidR="008C27A4" w:rsidRPr="00EB160F">
        <w:t xml:space="preserve">QIC </w:t>
      </w:r>
      <w:r w:rsidRPr="00EB160F">
        <w:t xml:space="preserve">within one business day </w:t>
      </w:r>
    </w:p>
    <w:p w14:paraId="5C12B1C9" w14:textId="02FDB8DC" w:rsidR="00673843" w:rsidRPr="00EB160F" w:rsidRDefault="00673843" w:rsidP="00EB6567">
      <w:pPr>
        <w:pStyle w:val="Style1"/>
        <w:numPr>
          <w:ilvl w:val="0"/>
          <w:numId w:val="28"/>
        </w:numPr>
      </w:pPr>
      <w:r w:rsidRPr="00EB160F">
        <w:t xml:space="preserve">24% received formal advice within three business days </w:t>
      </w:r>
    </w:p>
    <w:p w14:paraId="543B49C1" w14:textId="13221CF1" w:rsidR="00673843" w:rsidRPr="00EB160F" w:rsidRDefault="00673843" w:rsidP="00EB6567">
      <w:pPr>
        <w:pStyle w:val="Style1"/>
        <w:numPr>
          <w:ilvl w:val="0"/>
          <w:numId w:val="28"/>
        </w:numPr>
      </w:pPr>
      <w:r w:rsidRPr="00EB160F">
        <w:t>12% received formal advice within four to five business days</w:t>
      </w:r>
    </w:p>
    <w:p w14:paraId="018953DF" w14:textId="12721F87" w:rsidR="00673843" w:rsidRDefault="00673843" w:rsidP="00EB6567">
      <w:pPr>
        <w:pStyle w:val="Style1"/>
        <w:numPr>
          <w:ilvl w:val="0"/>
          <w:numId w:val="28"/>
        </w:numPr>
      </w:pPr>
      <w:r w:rsidRPr="00EB160F">
        <w:t>16% received formal advice within six to nine business days</w:t>
      </w:r>
      <w:r w:rsidR="00C414BE">
        <w:t xml:space="preserve">, and </w:t>
      </w:r>
    </w:p>
    <w:p w14:paraId="16C14F27" w14:textId="4272298B" w:rsidR="00C414BE" w:rsidRPr="00EB160F" w:rsidRDefault="00C414BE" w:rsidP="00EB6567">
      <w:pPr>
        <w:pStyle w:val="Style1"/>
        <w:numPr>
          <w:ilvl w:val="0"/>
          <w:numId w:val="28"/>
        </w:numPr>
      </w:pPr>
      <w:r w:rsidRPr="00EB160F">
        <w:t>a further</w:t>
      </w:r>
      <w:r>
        <w:t xml:space="preserve"> 7% received advice after </w:t>
      </w:r>
      <w:r w:rsidRPr="00EB160F">
        <w:t>10 or more business days</w:t>
      </w:r>
    </w:p>
    <w:p w14:paraId="0C6354ED" w14:textId="77777777" w:rsidR="00673843" w:rsidRPr="00EB160F" w:rsidRDefault="00673843" w:rsidP="00EB6567">
      <w:pPr>
        <w:pStyle w:val="Style1"/>
      </w:pPr>
    </w:p>
    <w:p w14:paraId="59BDC371" w14:textId="65E55650" w:rsidR="00673843" w:rsidRPr="00546AF1" w:rsidRDefault="00825A10" w:rsidP="00EB6567">
      <w:pPr>
        <w:pStyle w:val="Style1"/>
      </w:pPr>
      <w:r>
        <w:t xml:space="preserve">Of the 7% of matters </w:t>
      </w:r>
      <w:r w:rsidR="00673843" w:rsidRPr="00EB160F">
        <w:t>dealt with in 10 or more business days</w:t>
      </w:r>
      <w:r>
        <w:t xml:space="preserve">, these requests </w:t>
      </w:r>
      <w:r w:rsidR="00673843" w:rsidRPr="00EB160F">
        <w:t xml:space="preserve">generally related to </w:t>
      </w:r>
      <w:r w:rsidR="00F65472" w:rsidRPr="00EB160F">
        <w:t>private</w:t>
      </w:r>
      <w:r w:rsidR="0063356A" w:rsidRPr="00EB160F">
        <w:t xml:space="preserve"> interest </w:t>
      </w:r>
      <w:r w:rsidR="00F65472" w:rsidRPr="00EB160F">
        <w:t>matters</w:t>
      </w:r>
      <w:r w:rsidR="0063356A" w:rsidRPr="00EB160F">
        <w:t xml:space="preserve"> such as </w:t>
      </w:r>
      <w:r w:rsidR="00673843" w:rsidRPr="00EB160F">
        <w:t>post</w:t>
      </w:r>
      <w:r w:rsidR="00047606">
        <w:noBreakHyphen/>
      </w:r>
      <w:r w:rsidR="00673843" w:rsidRPr="00EB160F">
        <w:t xml:space="preserve">separation </w:t>
      </w:r>
      <w:r w:rsidR="0063356A" w:rsidRPr="00EB160F">
        <w:t>advice requests</w:t>
      </w:r>
      <w:r>
        <w:t xml:space="preserve"> or were request</w:t>
      </w:r>
      <w:r w:rsidR="00F765CF">
        <w:t>s</w:t>
      </w:r>
      <w:r>
        <w:t xml:space="preserve"> about </w:t>
      </w:r>
      <w:r w:rsidR="00673843" w:rsidRPr="00EB160F">
        <w:t xml:space="preserve">very complex matters </w:t>
      </w:r>
      <w:r w:rsidR="0063356A" w:rsidRPr="00EB160F">
        <w:t xml:space="preserve">that required </w:t>
      </w:r>
      <w:r w:rsidR="00673843" w:rsidRPr="00EB160F">
        <w:t>further inquiries to be made.</w:t>
      </w:r>
      <w:r w:rsidR="00673843" w:rsidRPr="00546AF1">
        <w:t xml:space="preserve"> </w:t>
      </w:r>
    </w:p>
    <w:p w14:paraId="358FC14E" w14:textId="66F7A513" w:rsidR="00FC09B9" w:rsidRPr="00546AF1" w:rsidRDefault="00FC09B9" w:rsidP="00EB6567">
      <w:pPr>
        <w:pStyle w:val="Style1"/>
      </w:pPr>
    </w:p>
    <w:p w14:paraId="4584BEA4" w14:textId="07131AAC" w:rsidR="00FC09B9" w:rsidRPr="00546AF1" w:rsidRDefault="00FC09B9" w:rsidP="00EB6567">
      <w:pPr>
        <w:pStyle w:val="Style1"/>
      </w:pPr>
      <w:r w:rsidRPr="00546AF1">
        <w:t xml:space="preserve">Further, for those 68 matters where the </w:t>
      </w:r>
      <w:r w:rsidR="00D82004">
        <w:t>QIC</w:t>
      </w:r>
      <w:r w:rsidRPr="00546AF1">
        <w:t xml:space="preserve"> did not provide formal advice, generally the advisee was informed within one to two days of the request being received. </w:t>
      </w:r>
    </w:p>
    <w:p w14:paraId="2DA5748E" w14:textId="77777777" w:rsidR="00F33D91" w:rsidRPr="00546AF1" w:rsidRDefault="00F33D91" w:rsidP="00EB6567">
      <w:pPr>
        <w:pStyle w:val="Style1"/>
      </w:pPr>
    </w:p>
    <w:p w14:paraId="007EF4EE" w14:textId="6AD841DF" w:rsidR="00947CFD" w:rsidRPr="00546AF1" w:rsidRDefault="0071714E" w:rsidP="00EB6567">
      <w:pPr>
        <w:pStyle w:val="Style1"/>
      </w:pPr>
      <w:r w:rsidRPr="00546AF1">
        <w:t xml:space="preserve">The work of the </w:t>
      </w:r>
      <w:r w:rsidR="008C27A4" w:rsidRPr="00546AF1">
        <w:t xml:space="preserve">QIC </w:t>
      </w:r>
      <w:r w:rsidRPr="00546AF1">
        <w:t xml:space="preserve">is not limited to weekdays. During the </w:t>
      </w:r>
      <w:proofErr w:type="gramStart"/>
      <w:r w:rsidR="00E75DBE" w:rsidRPr="00546AF1">
        <w:t>period of time</w:t>
      </w:r>
      <w:proofErr w:type="gramEnd"/>
      <w:r w:rsidR="00E75DBE" w:rsidRPr="00546AF1">
        <w:t xml:space="preserve"> that </w:t>
      </w:r>
      <w:r w:rsidRPr="00546AF1">
        <w:t xml:space="preserve">the </w:t>
      </w:r>
      <w:r w:rsidR="008C27A4" w:rsidRPr="00546AF1">
        <w:t xml:space="preserve">QIC </w:t>
      </w:r>
      <w:r w:rsidR="00E75DBE" w:rsidRPr="00546AF1">
        <w:t xml:space="preserve">serviced the </w:t>
      </w:r>
      <w:r w:rsidRPr="00546AF1">
        <w:t>local governme</w:t>
      </w:r>
      <w:r w:rsidR="00E75DBE" w:rsidRPr="00546AF1">
        <w:t>nt</w:t>
      </w:r>
      <w:r w:rsidRPr="00546AF1">
        <w:t xml:space="preserve"> sector,</w:t>
      </w:r>
      <w:r w:rsidR="00E75DBE" w:rsidRPr="00546AF1">
        <w:t xml:space="preserve"> from Februar</w:t>
      </w:r>
      <w:r w:rsidR="00947CFD" w:rsidRPr="00546AF1">
        <w:t>y</w:t>
      </w:r>
      <w:r w:rsidR="00E75DBE" w:rsidRPr="00546AF1">
        <w:t xml:space="preserve"> 2018 to June 2020, 21% of all </w:t>
      </w:r>
      <w:r w:rsidR="00F65472" w:rsidRPr="00546AF1">
        <w:t>requests</w:t>
      </w:r>
      <w:r w:rsidR="00E75DBE" w:rsidRPr="00546AF1">
        <w:t xml:space="preserve"> were </w:t>
      </w:r>
      <w:r w:rsidR="00947CFD" w:rsidRPr="00546AF1">
        <w:t xml:space="preserve">received </w:t>
      </w:r>
      <w:r w:rsidR="00E75DBE" w:rsidRPr="00546AF1">
        <w:t>after</w:t>
      </w:r>
      <w:r w:rsidR="00047606">
        <w:noBreakHyphen/>
      </w:r>
      <w:r w:rsidR="00E75DBE" w:rsidRPr="00546AF1">
        <w:t>hours</w:t>
      </w:r>
      <w:r w:rsidR="00BE073F">
        <w:t xml:space="preserve">, including on </w:t>
      </w:r>
      <w:r w:rsidR="00E75DBE" w:rsidRPr="00546AF1">
        <w:t>weekends</w:t>
      </w:r>
      <w:r w:rsidR="00BE073F">
        <w:t>,</w:t>
      </w:r>
      <w:r w:rsidR="00E75DBE" w:rsidRPr="00546AF1">
        <w:t xml:space="preserve"> and often re</w:t>
      </w:r>
      <w:r w:rsidR="00947CFD" w:rsidRPr="00546AF1">
        <w:t>quired</w:t>
      </w:r>
      <w:r w:rsidR="00E75DBE" w:rsidRPr="00546AF1">
        <w:t xml:space="preserve"> a </w:t>
      </w:r>
      <w:r w:rsidR="00F65472" w:rsidRPr="00546AF1">
        <w:t>reasonably</w:t>
      </w:r>
      <w:r w:rsidR="00947CFD" w:rsidRPr="00546AF1">
        <w:t xml:space="preserve"> </w:t>
      </w:r>
      <w:r w:rsidR="00E75DBE" w:rsidRPr="00546AF1">
        <w:t>urgent re</w:t>
      </w:r>
      <w:r w:rsidR="00947CFD" w:rsidRPr="00546AF1">
        <w:t>sponse</w:t>
      </w:r>
      <w:r w:rsidR="00F65472" w:rsidRPr="00546AF1">
        <w:t>.</w:t>
      </w:r>
    </w:p>
    <w:p w14:paraId="3F4DD548" w14:textId="77777777" w:rsidR="00F65472" w:rsidRPr="00546AF1" w:rsidRDefault="00F65472" w:rsidP="00EB6567">
      <w:pPr>
        <w:pStyle w:val="Style1"/>
      </w:pPr>
    </w:p>
    <w:p w14:paraId="61BA0D6B" w14:textId="02D4C49E" w:rsidR="0071714E" w:rsidRPr="00546AF1" w:rsidRDefault="000E7CF2" w:rsidP="00EB6567">
      <w:pPr>
        <w:pStyle w:val="Style1"/>
      </w:pPr>
      <w:r>
        <w:t>As previously discussed,</w:t>
      </w:r>
      <w:r w:rsidRPr="00546AF1">
        <w:t xml:space="preserve"> </w:t>
      </w:r>
      <w:r w:rsidR="00E75DBE" w:rsidRPr="00546AF1">
        <w:t>amendments to local government legis</w:t>
      </w:r>
      <w:r w:rsidR="00947CFD" w:rsidRPr="00546AF1">
        <w:t xml:space="preserve">lation </w:t>
      </w:r>
      <w:r w:rsidR="00E75DBE" w:rsidRPr="00546AF1">
        <w:t>ha</w:t>
      </w:r>
      <w:r w:rsidR="00F65472" w:rsidRPr="00546AF1">
        <w:t xml:space="preserve">ve </w:t>
      </w:r>
      <w:r>
        <w:t xml:space="preserve">resulted in </w:t>
      </w:r>
      <w:r w:rsidR="00E75DBE" w:rsidRPr="00546AF1">
        <w:t xml:space="preserve">the </w:t>
      </w:r>
      <w:r w:rsidR="008C27A4" w:rsidRPr="00546AF1">
        <w:t xml:space="preserve">QIC </w:t>
      </w:r>
      <w:r w:rsidR="00E75DBE" w:rsidRPr="00546AF1">
        <w:t>no longer providing advice to mayors and coun</w:t>
      </w:r>
      <w:r w:rsidR="00101A79" w:rsidRPr="00546AF1">
        <w:t>c</w:t>
      </w:r>
      <w:r w:rsidR="00E75DBE" w:rsidRPr="00546AF1">
        <w:t xml:space="preserve">illors on </w:t>
      </w:r>
      <w:proofErr w:type="gramStart"/>
      <w:r w:rsidR="00E75DBE" w:rsidRPr="00546AF1">
        <w:t>conflict of interest</w:t>
      </w:r>
      <w:proofErr w:type="gramEnd"/>
      <w:r w:rsidR="00E75DBE" w:rsidRPr="00546AF1">
        <w:t xml:space="preserve"> issues. This change has reduced out of ho</w:t>
      </w:r>
      <w:r w:rsidR="00947CFD" w:rsidRPr="00546AF1">
        <w:t>urs</w:t>
      </w:r>
      <w:r w:rsidR="00E75DBE" w:rsidRPr="00546AF1">
        <w:t xml:space="preserve"> requests </w:t>
      </w:r>
      <w:r w:rsidR="00480A33" w:rsidRPr="00546AF1">
        <w:t xml:space="preserve">received </w:t>
      </w:r>
      <w:r w:rsidR="00E75DBE" w:rsidRPr="00546AF1">
        <w:t xml:space="preserve">to two percent (2%) of </w:t>
      </w:r>
      <w:r w:rsidR="0071714E" w:rsidRPr="00546AF1">
        <w:t>all advice requests</w:t>
      </w:r>
      <w:r w:rsidR="00101A79" w:rsidRPr="00546AF1">
        <w:t xml:space="preserve">. </w:t>
      </w:r>
    </w:p>
    <w:p w14:paraId="0D5691FD" w14:textId="1B467F01" w:rsidR="00BE4B1E" w:rsidRPr="00546AF1" w:rsidRDefault="00BE4B1E" w:rsidP="00BE4B1E">
      <w:pPr>
        <w:rPr>
          <w:rFonts w:ascii="Times New Roman" w:hAnsi="Times New Roman"/>
          <w:szCs w:val="20"/>
        </w:rPr>
      </w:pPr>
    </w:p>
    <w:p w14:paraId="05B82C63" w14:textId="2B13AC64" w:rsidR="00BE4B1E" w:rsidRPr="00546AF1" w:rsidRDefault="00BE4B1E" w:rsidP="00BE4B1E">
      <w:pPr>
        <w:rPr>
          <w:rFonts w:ascii="Times New Roman" w:hAnsi="Times New Roman"/>
        </w:rPr>
      </w:pPr>
      <w:r w:rsidRPr="00546AF1">
        <w:rPr>
          <w:rFonts w:ascii="Times New Roman" w:hAnsi="Times New Roman"/>
        </w:rPr>
        <w:br w:type="page"/>
      </w:r>
    </w:p>
    <w:p w14:paraId="2CA6BEFD" w14:textId="5CE180D3" w:rsidR="00DB060E" w:rsidRPr="00546AF1" w:rsidRDefault="00236E74" w:rsidP="007C149C">
      <w:pPr>
        <w:pStyle w:val="Heading2"/>
      </w:pPr>
      <w:bookmarkStart w:id="51" w:name="_Toc83044371"/>
      <w:bookmarkStart w:id="52" w:name="_Toc83822853"/>
      <w:r>
        <w:lastRenderedPageBreak/>
        <w:t xml:space="preserve">8. </w:t>
      </w:r>
      <w:r w:rsidR="00256585" w:rsidRPr="00546AF1">
        <w:t>Regulation of</w:t>
      </w:r>
      <w:r w:rsidR="00D606DE" w:rsidRPr="00546AF1">
        <w:t xml:space="preserve"> </w:t>
      </w:r>
      <w:bookmarkEnd w:id="51"/>
      <w:r w:rsidR="00256585" w:rsidRPr="00546AF1">
        <w:t>lobbying activity</w:t>
      </w:r>
      <w:bookmarkEnd w:id="52"/>
    </w:p>
    <w:p w14:paraId="0631A5FB" w14:textId="77777777" w:rsidR="00673843" w:rsidRPr="00546AF1" w:rsidRDefault="00673843" w:rsidP="00BE4B1E">
      <w:pPr>
        <w:rPr>
          <w:rFonts w:ascii="Times New Roman" w:hAnsi="Times New Roman"/>
          <w:szCs w:val="20"/>
        </w:rPr>
      </w:pPr>
    </w:p>
    <w:p w14:paraId="28098084" w14:textId="29DA57D3" w:rsidR="0037081A" w:rsidRPr="00546AF1" w:rsidRDefault="0037081A" w:rsidP="00EB6567">
      <w:pPr>
        <w:pStyle w:val="Style1"/>
      </w:pPr>
      <w:r w:rsidRPr="00236E74">
        <w:t>Section 7(1)(c) of the</w:t>
      </w:r>
      <w:r w:rsidRPr="00546AF1">
        <w:t xml:space="preserve"> </w:t>
      </w:r>
      <w:r w:rsidR="00F9530C" w:rsidRPr="00546AF1">
        <w:t xml:space="preserve">Act </w:t>
      </w:r>
      <w:r w:rsidRPr="00546AF1">
        <w:t xml:space="preserve">states that it is a function of the </w:t>
      </w:r>
      <w:r w:rsidR="008C27A4" w:rsidRPr="00546AF1">
        <w:t>QIC</w:t>
      </w:r>
      <w:r w:rsidR="0063520F" w:rsidRPr="00546AF1">
        <w:t xml:space="preserve"> </w:t>
      </w:r>
      <w:r w:rsidRPr="00546AF1">
        <w:t xml:space="preserve">to keep the lobbyists register and have responsibility for the registration of lobbyists. </w:t>
      </w:r>
      <w:r w:rsidR="001D0A33" w:rsidRPr="00546AF1">
        <w:t xml:space="preserve">The express provisions are set out in </w:t>
      </w:r>
      <w:r w:rsidR="005A62E2" w:rsidRPr="00546AF1">
        <w:t>‘</w:t>
      </w:r>
      <w:r w:rsidR="001D0A33" w:rsidRPr="00546AF1">
        <w:t xml:space="preserve">Chapter 4 </w:t>
      </w:r>
      <w:r w:rsidR="009467DB" w:rsidRPr="00546AF1">
        <w:t>Regulation of lobbying activity</w:t>
      </w:r>
      <w:r w:rsidR="005A62E2" w:rsidRPr="00546AF1">
        <w:t>’</w:t>
      </w:r>
      <w:r w:rsidR="005A62E2" w:rsidRPr="00546AF1">
        <w:rPr>
          <w:i/>
          <w:iCs/>
        </w:rPr>
        <w:t xml:space="preserve"> </w:t>
      </w:r>
      <w:r w:rsidR="005A62E2" w:rsidRPr="00546AF1">
        <w:t xml:space="preserve">of the Act. </w:t>
      </w:r>
    </w:p>
    <w:p w14:paraId="55211040" w14:textId="77777777" w:rsidR="0037081A" w:rsidRPr="00546AF1" w:rsidRDefault="0037081A" w:rsidP="00EB6567">
      <w:pPr>
        <w:pStyle w:val="Style1"/>
      </w:pPr>
    </w:p>
    <w:p w14:paraId="707948A7" w14:textId="530B7BDC" w:rsidR="0037081A" w:rsidRPr="00546AF1" w:rsidRDefault="0037081A" w:rsidP="00EB6567">
      <w:pPr>
        <w:pStyle w:val="Style1"/>
      </w:pPr>
      <w:r w:rsidRPr="00546AF1">
        <w:t xml:space="preserve">The regulatory system </w:t>
      </w:r>
      <w:r w:rsidR="000E7CF2">
        <w:t xml:space="preserve">provided for by Chapter 4 of the Act </w:t>
      </w:r>
      <w:r w:rsidRPr="00546AF1">
        <w:t xml:space="preserve">is based on </w:t>
      </w:r>
      <w:r w:rsidR="000E7CF2">
        <w:t xml:space="preserve">a </w:t>
      </w:r>
      <w:r w:rsidRPr="00546AF1">
        <w:t xml:space="preserve">requirement that ‘government </w:t>
      </w:r>
      <w:proofErr w:type="gramStart"/>
      <w:r w:rsidR="00F02064" w:rsidRPr="00546AF1">
        <w:t>representatives’</w:t>
      </w:r>
      <w:proofErr w:type="gramEnd"/>
      <w:r w:rsidR="00F02064" w:rsidRPr="00546AF1">
        <w:t xml:space="preserve"> </w:t>
      </w:r>
      <w:r w:rsidRPr="00546AF1">
        <w:t xml:space="preserve">must not knowingly permit an entity that is not a registered lobbyist to carry out lobbying activity for a third party client with the government representative. </w:t>
      </w:r>
    </w:p>
    <w:p w14:paraId="77E533F6" w14:textId="77777777" w:rsidR="0037081A" w:rsidRPr="00546AF1" w:rsidRDefault="0037081A" w:rsidP="00EB6567">
      <w:pPr>
        <w:pStyle w:val="Style1"/>
      </w:pPr>
    </w:p>
    <w:p w14:paraId="2F0769F7" w14:textId="6222FDAC" w:rsidR="0037081A" w:rsidRPr="00546AF1" w:rsidRDefault="00DA6A72" w:rsidP="00EB6567">
      <w:pPr>
        <w:pStyle w:val="Style1"/>
      </w:pPr>
      <w:r w:rsidRPr="00546AF1">
        <w:t xml:space="preserve">Whilst the </w:t>
      </w:r>
      <w:r w:rsidR="008C27A4" w:rsidRPr="00546AF1">
        <w:t>QIC</w:t>
      </w:r>
      <w:r w:rsidR="0063520F" w:rsidRPr="00546AF1">
        <w:t xml:space="preserve"> </w:t>
      </w:r>
      <w:r w:rsidR="0037081A" w:rsidRPr="00546AF1">
        <w:t xml:space="preserve">has no power </w:t>
      </w:r>
      <w:r w:rsidR="000E7CF2">
        <w:t xml:space="preserve">to investigate or prosecute </w:t>
      </w:r>
      <w:r w:rsidRPr="00546AF1">
        <w:t>under the Act, w</w:t>
      </w:r>
      <w:r w:rsidR="0037081A" w:rsidRPr="00546AF1">
        <w:t xml:space="preserve">here appropriate, the </w:t>
      </w:r>
      <w:r w:rsidR="000E7CF2">
        <w:t xml:space="preserve">QIC </w:t>
      </w:r>
      <w:r w:rsidR="0037081A" w:rsidRPr="00546AF1">
        <w:t>refer</w:t>
      </w:r>
      <w:r w:rsidR="000E7CF2">
        <w:t>s</w:t>
      </w:r>
      <w:r w:rsidR="0037081A" w:rsidRPr="00546AF1">
        <w:t xml:space="preserve"> </w:t>
      </w:r>
      <w:r w:rsidRPr="00546AF1">
        <w:t xml:space="preserve">any </w:t>
      </w:r>
      <w:r w:rsidR="0037081A" w:rsidRPr="00546AF1">
        <w:t xml:space="preserve">matters of concern to </w:t>
      </w:r>
      <w:r w:rsidR="000E7CF2">
        <w:t xml:space="preserve">a </w:t>
      </w:r>
      <w:r w:rsidR="0037081A" w:rsidRPr="00546AF1">
        <w:t>relevant agency such as the Queensland Police Service or the Crime and Corruption Commission.</w:t>
      </w:r>
    </w:p>
    <w:p w14:paraId="7FD2A270" w14:textId="77777777" w:rsidR="00557C05" w:rsidRPr="00546AF1" w:rsidRDefault="00557C05" w:rsidP="00BE4B1E">
      <w:pPr>
        <w:rPr>
          <w:rFonts w:ascii="Times New Roman" w:hAnsi="Times New Roman"/>
          <w:szCs w:val="20"/>
        </w:rPr>
      </w:pPr>
    </w:p>
    <w:p w14:paraId="56CC8FE1" w14:textId="77777777" w:rsidR="0037081A" w:rsidRPr="00546AF1" w:rsidRDefault="0037081A" w:rsidP="00F41A4B">
      <w:pPr>
        <w:pStyle w:val="Heading3"/>
      </w:pPr>
      <w:bookmarkStart w:id="53" w:name="_Toc83044373"/>
      <w:bookmarkStart w:id="54" w:name="_Toc83731441"/>
      <w:bookmarkStart w:id="55" w:name="_Toc83802769"/>
      <w:bookmarkStart w:id="56" w:name="_Toc83822854"/>
      <w:r w:rsidRPr="00546AF1">
        <w:t>Code of Conduct</w:t>
      </w:r>
      <w:bookmarkEnd w:id="53"/>
      <w:bookmarkEnd w:id="54"/>
      <w:bookmarkEnd w:id="55"/>
      <w:bookmarkEnd w:id="56"/>
    </w:p>
    <w:p w14:paraId="44C830A6" w14:textId="3ACA08F6" w:rsidR="0037081A" w:rsidRPr="00546AF1" w:rsidRDefault="0037081A" w:rsidP="00EB6567">
      <w:pPr>
        <w:pStyle w:val="Style1"/>
      </w:pPr>
      <w:r w:rsidRPr="00546AF1">
        <w:t xml:space="preserve">Lobbyists are required to comply with a Lobbyists Code of Conduct which </w:t>
      </w:r>
      <w:r w:rsidR="000E7CF2">
        <w:t xml:space="preserve">codifies the </w:t>
      </w:r>
      <w:r w:rsidRPr="00546AF1">
        <w:t>ethical obligations and responsibilities o</w:t>
      </w:r>
      <w:r w:rsidR="00F765CF">
        <w:t>f</w:t>
      </w:r>
      <w:r w:rsidRPr="00546AF1">
        <w:t xml:space="preserve"> lobbyists seeking to influence government policy and decision making, </w:t>
      </w:r>
      <w:r w:rsidR="000E7CF2" w:rsidRPr="00546AF1">
        <w:t>whil</w:t>
      </w:r>
      <w:r w:rsidR="000E7CF2">
        <w:t>st</w:t>
      </w:r>
      <w:r w:rsidR="000E7CF2" w:rsidRPr="00546AF1">
        <w:t xml:space="preserve"> </w:t>
      </w:r>
      <w:r w:rsidRPr="00546AF1">
        <w:t xml:space="preserve">representing the interests of </w:t>
      </w:r>
      <w:r w:rsidR="000E7CF2">
        <w:t xml:space="preserve">a </w:t>
      </w:r>
      <w:proofErr w:type="gramStart"/>
      <w:r w:rsidR="000E7CF2">
        <w:t>third party</w:t>
      </w:r>
      <w:proofErr w:type="gramEnd"/>
      <w:r w:rsidR="000E7CF2">
        <w:t xml:space="preserve"> clients </w:t>
      </w:r>
      <w:r w:rsidRPr="00546AF1">
        <w:t xml:space="preserve">for fee or other reward. </w:t>
      </w:r>
    </w:p>
    <w:p w14:paraId="4EFF2DAA" w14:textId="77777777" w:rsidR="0037081A" w:rsidRPr="00546AF1" w:rsidRDefault="0037081A" w:rsidP="00EB6567">
      <w:pPr>
        <w:pStyle w:val="Style1"/>
      </w:pPr>
    </w:p>
    <w:p w14:paraId="2E87C480" w14:textId="77777777" w:rsidR="0037081A" w:rsidRPr="00546AF1" w:rsidRDefault="0037081A" w:rsidP="00EB6567">
      <w:pPr>
        <w:pStyle w:val="Style1"/>
      </w:pPr>
      <w:r w:rsidRPr="00546AF1">
        <w:t xml:space="preserve">Ethical lobbying is widely regarded to be a legitimate activity as part of the contest of ideas in the democratic process. Lobbyists can assist individuals and organisations to communicate their views to government and opposition representatives on matters of public interest. </w:t>
      </w:r>
    </w:p>
    <w:p w14:paraId="298A3200" w14:textId="77777777" w:rsidR="0037081A" w:rsidRPr="00546AF1" w:rsidRDefault="0037081A" w:rsidP="00EB6567">
      <w:pPr>
        <w:pStyle w:val="Style1"/>
      </w:pPr>
    </w:p>
    <w:p w14:paraId="2D962552" w14:textId="64DEEE4D" w:rsidR="0037081A" w:rsidRPr="00546AF1" w:rsidRDefault="0037081A" w:rsidP="00EB6567">
      <w:pPr>
        <w:pStyle w:val="Style1"/>
      </w:pPr>
      <w:r w:rsidRPr="00546AF1">
        <w:t xml:space="preserve">However, there are also inherent risks </w:t>
      </w:r>
      <w:r w:rsidR="000E7CF2">
        <w:t xml:space="preserve">associated </w:t>
      </w:r>
      <w:r w:rsidRPr="00546AF1">
        <w:t xml:space="preserve">with the commercialised aspects of lobbying. Lobbyists </w:t>
      </w:r>
      <w:r w:rsidR="00CB33DF" w:rsidRPr="00546AF1">
        <w:t xml:space="preserve">are </w:t>
      </w:r>
      <w:r w:rsidR="006F7BDD" w:rsidRPr="00546AF1">
        <w:t>often former politicians</w:t>
      </w:r>
      <w:r w:rsidR="000E7CF2">
        <w:t>,</w:t>
      </w:r>
      <w:r w:rsidR="006F7BDD" w:rsidRPr="00546AF1">
        <w:t xml:space="preserve"> ministerial</w:t>
      </w:r>
      <w:r w:rsidR="000E7CF2">
        <w:t xml:space="preserve"> staff</w:t>
      </w:r>
      <w:r w:rsidR="006F7BDD" w:rsidRPr="00546AF1">
        <w:t xml:space="preserve"> or </w:t>
      </w:r>
      <w:r w:rsidR="000E7CF2">
        <w:t xml:space="preserve">senior government representatives </w:t>
      </w:r>
      <w:r w:rsidR="006F7BDD" w:rsidRPr="00546AF1">
        <w:t xml:space="preserve">and are </w:t>
      </w:r>
      <w:r w:rsidRPr="00546AF1">
        <w:t>perceived</w:t>
      </w:r>
      <w:r w:rsidR="00624AA6" w:rsidRPr="00546AF1">
        <w:t xml:space="preserve"> by members of the public </w:t>
      </w:r>
      <w:r w:rsidRPr="00546AF1">
        <w:t xml:space="preserve">to have personal influence over </w:t>
      </w:r>
      <w:r w:rsidR="00624AA6" w:rsidRPr="00546AF1">
        <w:t xml:space="preserve">key </w:t>
      </w:r>
      <w:r w:rsidRPr="00546AF1">
        <w:t>decision</w:t>
      </w:r>
      <w:r w:rsidR="00047606">
        <w:noBreakHyphen/>
      </w:r>
      <w:r w:rsidRPr="00546AF1">
        <w:t xml:space="preserve">makers, often because of </w:t>
      </w:r>
      <w:r w:rsidR="000606A5" w:rsidRPr="00546AF1">
        <w:t xml:space="preserve">their </w:t>
      </w:r>
      <w:r w:rsidRPr="00546AF1">
        <w:t>pre</w:t>
      </w:r>
      <w:r w:rsidR="00047606">
        <w:noBreakHyphen/>
      </w:r>
      <w:r w:rsidRPr="00546AF1">
        <w:t xml:space="preserve">existing </w:t>
      </w:r>
      <w:r w:rsidR="000E7CF2">
        <w:t xml:space="preserve">political </w:t>
      </w:r>
      <w:r w:rsidRPr="00546AF1">
        <w:t>associations and ties</w:t>
      </w:r>
      <w:r w:rsidR="000E7CF2">
        <w:t xml:space="preserve">, or past public sector employment </w:t>
      </w:r>
      <w:proofErr w:type="spellStart"/>
      <w:r w:rsidR="000E7CF2">
        <w:t>roles</w:t>
      </w:r>
      <w:proofErr w:type="spellEnd"/>
      <w:r w:rsidR="000606A5" w:rsidRPr="00546AF1">
        <w:t xml:space="preserve">. </w:t>
      </w:r>
    </w:p>
    <w:p w14:paraId="4DA321C0" w14:textId="7DD90BD4" w:rsidR="006F0468" w:rsidRPr="00546AF1" w:rsidRDefault="006F0468" w:rsidP="00EB6567">
      <w:pPr>
        <w:pStyle w:val="Style1"/>
      </w:pPr>
    </w:p>
    <w:p w14:paraId="5FAFE1EE" w14:textId="2D1234F7" w:rsidR="00E16808" w:rsidRPr="00546AF1" w:rsidRDefault="006F0468" w:rsidP="00EB6567">
      <w:pPr>
        <w:pStyle w:val="Style1"/>
      </w:pPr>
      <w:r w:rsidRPr="00546AF1">
        <w:t>Further, understand</w:t>
      </w:r>
      <w:r w:rsidR="00E16808" w:rsidRPr="00546AF1">
        <w:t>ing</w:t>
      </w:r>
      <w:r w:rsidRPr="00546AF1">
        <w:t xml:space="preserve"> what is and what is not </w:t>
      </w:r>
      <w:r w:rsidR="0037081A" w:rsidRPr="00546AF1">
        <w:t xml:space="preserve">‘lobbying activity’ </w:t>
      </w:r>
      <w:r w:rsidRPr="00546AF1">
        <w:t xml:space="preserve">as defined under the Act </w:t>
      </w:r>
      <w:r w:rsidR="000E7CF2">
        <w:t xml:space="preserve">can be problematic, and will ultimately be determined by reference to </w:t>
      </w:r>
      <w:r w:rsidR="0037081A" w:rsidRPr="00546AF1">
        <w:t>the facts</w:t>
      </w:r>
      <w:r w:rsidR="000E7CF2">
        <w:t xml:space="preserve"> of each </w:t>
      </w:r>
      <w:proofErr w:type="gramStart"/>
      <w:r w:rsidR="000E7CF2">
        <w:t>particular case</w:t>
      </w:r>
      <w:proofErr w:type="gramEnd"/>
      <w:r w:rsidR="0037081A" w:rsidRPr="00546AF1">
        <w:t xml:space="preserve">. </w:t>
      </w:r>
    </w:p>
    <w:p w14:paraId="0B0BBB8D" w14:textId="77777777" w:rsidR="00E16808" w:rsidRPr="00546AF1" w:rsidRDefault="00E16808" w:rsidP="00EB6567">
      <w:pPr>
        <w:pStyle w:val="Style1"/>
      </w:pPr>
    </w:p>
    <w:p w14:paraId="6BD94DD6" w14:textId="04D4E08F" w:rsidR="00F94BF6" w:rsidRPr="00546AF1" w:rsidRDefault="00250FEC" w:rsidP="00EB6567">
      <w:pPr>
        <w:pStyle w:val="Style1"/>
      </w:pPr>
      <w:r w:rsidRPr="00546AF1">
        <w:t>To assist</w:t>
      </w:r>
      <w:r w:rsidR="009A7B97" w:rsidRPr="00546AF1">
        <w:t xml:space="preserve"> </w:t>
      </w:r>
      <w:r w:rsidR="00B76E78" w:rsidRPr="00546AF1">
        <w:t>interested part</w:t>
      </w:r>
      <w:r w:rsidR="00E16808" w:rsidRPr="00546AF1">
        <w:t>ies</w:t>
      </w:r>
      <w:r w:rsidR="000E7CF2">
        <w:t xml:space="preserve"> and the public generally</w:t>
      </w:r>
      <w:r w:rsidR="009A7B97" w:rsidRPr="00546AF1">
        <w:t xml:space="preserve"> a</w:t>
      </w:r>
      <w:r w:rsidR="00100470" w:rsidRPr="00546AF1">
        <w:t xml:space="preserve"> </w:t>
      </w:r>
      <w:proofErr w:type="gramStart"/>
      <w:r w:rsidR="00100470" w:rsidRPr="00546AF1">
        <w:t>question and answer</w:t>
      </w:r>
      <w:proofErr w:type="gramEnd"/>
      <w:r w:rsidR="00100470" w:rsidRPr="00546AF1">
        <w:t xml:space="preserve"> fact sheet </w:t>
      </w:r>
      <w:r w:rsidR="009A7B97" w:rsidRPr="00546AF1">
        <w:t xml:space="preserve">has been developed and </w:t>
      </w:r>
      <w:r w:rsidR="000E7CF2">
        <w:t xml:space="preserve">made </w:t>
      </w:r>
      <w:r w:rsidR="00100470" w:rsidRPr="00546AF1">
        <w:t xml:space="preserve">available on the </w:t>
      </w:r>
      <w:r w:rsidR="009A7B97" w:rsidRPr="00546AF1">
        <w:t xml:space="preserve">website of the </w:t>
      </w:r>
      <w:r w:rsidR="008C27A4" w:rsidRPr="00546AF1">
        <w:t>QIC</w:t>
      </w:r>
      <w:r w:rsidR="000E7CF2">
        <w:t>, which outlines</w:t>
      </w:r>
      <w:r w:rsidR="0063520F" w:rsidRPr="00546AF1">
        <w:t xml:space="preserve"> </w:t>
      </w:r>
      <w:r w:rsidR="00393A9B" w:rsidRPr="00546AF1">
        <w:t xml:space="preserve">the </w:t>
      </w:r>
      <w:r w:rsidR="000E7CF2">
        <w:t>QIC</w:t>
      </w:r>
      <w:r w:rsidR="000E7CF2" w:rsidRPr="00546AF1">
        <w:t xml:space="preserve">’s </w:t>
      </w:r>
      <w:r w:rsidR="00D70307" w:rsidRPr="00546AF1">
        <w:t xml:space="preserve">interpretations </w:t>
      </w:r>
      <w:r w:rsidR="00F765CF">
        <w:t>of</w:t>
      </w:r>
      <w:r w:rsidR="000E7CF2">
        <w:t xml:space="preserve"> </w:t>
      </w:r>
      <w:r w:rsidR="00D70307" w:rsidRPr="00546AF1">
        <w:t xml:space="preserve">lobbying </w:t>
      </w:r>
      <w:r w:rsidR="000E7CF2">
        <w:t>activity</w:t>
      </w:r>
      <w:r w:rsidR="00B76E78" w:rsidRPr="00546AF1">
        <w:t xml:space="preserve">. </w:t>
      </w:r>
      <w:r w:rsidR="000E7CF2">
        <w:t xml:space="preserve">The fact sheet is </w:t>
      </w:r>
      <w:r w:rsidR="00F94BF6" w:rsidRPr="00546AF1">
        <w:t xml:space="preserve">updated from time to time as </w:t>
      </w:r>
      <w:r w:rsidR="000E7CF2">
        <w:t xml:space="preserve">required </w:t>
      </w:r>
      <w:r w:rsidR="00F94BF6" w:rsidRPr="00546AF1">
        <w:t>and can be accessed via:</w:t>
      </w:r>
    </w:p>
    <w:p w14:paraId="58252E3E" w14:textId="3BA34296" w:rsidR="0038576F" w:rsidRPr="00546AF1" w:rsidRDefault="00B87461" w:rsidP="00EB6567">
      <w:pPr>
        <w:pStyle w:val="Style1"/>
      </w:pPr>
      <w:hyperlink r:id="rId47" w:history="1">
        <w:r w:rsidR="00F94BF6" w:rsidRPr="00546AF1">
          <w:rPr>
            <w:rStyle w:val="Hyperlink"/>
          </w:rPr>
          <w:t>https://www.integrity.qld.gov.au/lobbyists/lobbying-questions-answers.asp</w:t>
        </w:r>
      </w:hyperlink>
    </w:p>
    <w:p w14:paraId="5BB6280F" w14:textId="77777777" w:rsidR="0037081A" w:rsidRPr="00546AF1" w:rsidRDefault="0037081A" w:rsidP="00EB6567">
      <w:pPr>
        <w:pStyle w:val="Style1"/>
      </w:pPr>
    </w:p>
    <w:p w14:paraId="74CB2F44" w14:textId="4BDB108C" w:rsidR="00576215" w:rsidRPr="00546AF1" w:rsidRDefault="0037081A" w:rsidP="00EB6567">
      <w:pPr>
        <w:pStyle w:val="Style1"/>
      </w:pPr>
      <w:r w:rsidRPr="00546AF1">
        <w:t xml:space="preserve">The </w:t>
      </w:r>
      <w:r w:rsidR="008C27A4" w:rsidRPr="00546AF1">
        <w:t>QIC</w:t>
      </w:r>
      <w:r w:rsidR="0063520F" w:rsidRPr="00546AF1">
        <w:t xml:space="preserve"> </w:t>
      </w:r>
      <w:r w:rsidRPr="00546AF1">
        <w:t>has also developed a framework</w:t>
      </w:r>
      <w:r w:rsidR="00FB3D0C" w:rsidRPr="00546AF1">
        <w:t xml:space="preserve">, with reference to the relevant sections of the Act, </w:t>
      </w:r>
      <w:r w:rsidRPr="00546AF1">
        <w:t xml:space="preserve">that </w:t>
      </w:r>
      <w:r w:rsidR="00E41520" w:rsidRPr="00546AF1">
        <w:t xml:space="preserve">the </w:t>
      </w:r>
      <w:r w:rsidR="000E7CF2">
        <w:t>QIC</w:t>
      </w:r>
      <w:r w:rsidR="000E7CF2" w:rsidRPr="00546AF1">
        <w:t xml:space="preserve"> </w:t>
      </w:r>
      <w:r w:rsidR="00E41520" w:rsidRPr="00546AF1">
        <w:t>relies on when determining whether</w:t>
      </w:r>
      <w:r w:rsidR="00576215" w:rsidRPr="00546AF1">
        <w:t>:</w:t>
      </w:r>
    </w:p>
    <w:p w14:paraId="25B57DF8" w14:textId="3D746789" w:rsidR="00576215" w:rsidRPr="00546AF1" w:rsidRDefault="0037081A" w:rsidP="00EB6567">
      <w:pPr>
        <w:pStyle w:val="Style1"/>
        <w:numPr>
          <w:ilvl w:val="0"/>
          <w:numId w:val="29"/>
        </w:numPr>
      </w:pPr>
      <w:r w:rsidRPr="00546AF1">
        <w:t xml:space="preserve">the conduct of a person or entity might warrant removal from the </w:t>
      </w:r>
      <w:r w:rsidR="00A86618" w:rsidRPr="00546AF1">
        <w:t xml:space="preserve">Lobbyists </w:t>
      </w:r>
      <w:r w:rsidRPr="00546AF1">
        <w:t>Register</w:t>
      </w:r>
      <w:r w:rsidR="00576215" w:rsidRPr="00546AF1">
        <w:t>, or</w:t>
      </w:r>
    </w:p>
    <w:p w14:paraId="387876F8" w14:textId="598A34AA" w:rsidR="0037081A" w:rsidRPr="00546AF1" w:rsidRDefault="00576215" w:rsidP="00EB6567">
      <w:pPr>
        <w:pStyle w:val="Style1"/>
        <w:numPr>
          <w:ilvl w:val="0"/>
          <w:numId w:val="29"/>
        </w:numPr>
      </w:pPr>
      <w:r w:rsidRPr="00546AF1">
        <w:t xml:space="preserve">the conduct of a person or entity might warrant </w:t>
      </w:r>
      <w:r w:rsidR="00A86618" w:rsidRPr="00546AF1">
        <w:t xml:space="preserve">the </w:t>
      </w:r>
      <w:r w:rsidR="00D82004">
        <w:t>QIC</w:t>
      </w:r>
      <w:r w:rsidR="00A86618" w:rsidRPr="00546AF1">
        <w:t xml:space="preserve">’s </w:t>
      </w:r>
      <w:r w:rsidR="0037081A" w:rsidRPr="00546AF1">
        <w:t>refusal to register an entity or list a person</w:t>
      </w:r>
      <w:r w:rsidRPr="00546AF1">
        <w:t xml:space="preserve">, or </w:t>
      </w:r>
    </w:p>
    <w:p w14:paraId="400C0E03" w14:textId="4B116C43" w:rsidR="00576215" w:rsidRPr="00546AF1" w:rsidRDefault="00576215" w:rsidP="00EB6567">
      <w:pPr>
        <w:pStyle w:val="Style1"/>
        <w:numPr>
          <w:ilvl w:val="0"/>
          <w:numId w:val="29"/>
        </w:numPr>
      </w:pPr>
      <w:r w:rsidRPr="00546AF1">
        <w:t>the conduct of a person or entity might warrant</w:t>
      </w:r>
      <w:r w:rsidR="00F94D79" w:rsidRPr="00546AF1">
        <w:t xml:space="preserve"> a referral by the </w:t>
      </w:r>
      <w:r w:rsidR="00D82004">
        <w:t>QIC</w:t>
      </w:r>
      <w:r w:rsidR="00F94D79" w:rsidRPr="00546AF1">
        <w:t xml:space="preserve"> to an investigative agency such as the Crime and Corruption Commission. </w:t>
      </w:r>
    </w:p>
    <w:p w14:paraId="44B56FBE" w14:textId="77777777" w:rsidR="00824827" w:rsidRPr="00546AF1" w:rsidRDefault="00824827" w:rsidP="00BE4B1E">
      <w:pPr>
        <w:rPr>
          <w:rFonts w:ascii="Times New Roman" w:hAnsi="Times New Roman"/>
          <w:szCs w:val="20"/>
        </w:rPr>
      </w:pPr>
    </w:p>
    <w:p w14:paraId="3694D59D" w14:textId="66B83AD2" w:rsidR="0037081A" w:rsidRPr="00546AF1" w:rsidRDefault="0037081A" w:rsidP="00F41A4B">
      <w:pPr>
        <w:pStyle w:val="Heading3"/>
      </w:pPr>
      <w:bookmarkStart w:id="57" w:name="_Toc83044374"/>
      <w:bookmarkStart w:id="58" w:name="_Toc83731442"/>
      <w:bookmarkStart w:id="59" w:name="_Toc83802770"/>
      <w:bookmarkStart w:id="60" w:name="_Toc83822855"/>
      <w:r w:rsidRPr="00546AF1">
        <w:t>Number of Requests for Advice about Lobbying</w:t>
      </w:r>
      <w:bookmarkEnd w:id="57"/>
      <w:bookmarkEnd w:id="58"/>
      <w:bookmarkEnd w:id="59"/>
      <w:bookmarkEnd w:id="60"/>
      <w:r w:rsidRPr="00546AF1">
        <w:t xml:space="preserve"> </w:t>
      </w:r>
    </w:p>
    <w:p w14:paraId="31BAB3D3" w14:textId="511C5AF0" w:rsidR="001C153C" w:rsidRPr="00546AF1" w:rsidRDefault="00333803" w:rsidP="00EB6567">
      <w:pPr>
        <w:pStyle w:val="Style1"/>
      </w:pPr>
      <w:r w:rsidRPr="00546AF1">
        <w:t xml:space="preserve">The </w:t>
      </w:r>
      <w:r w:rsidR="000E7CF2">
        <w:t>QIC</w:t>
      </w:r>
      <w:r w:rsidR="000E7CF2" w:rsidRPr="00546AF1">
        <w:t xml:space="preserve"> </w:t>
      </w:r>
      <w:r w:rsidRPr="00546AF1">
        <w:t xml:space="preserve">provided </w:t>
      </w:r>
      <w:r w:rsidR="00A66798" w:rsidRPr="00546AF1">
        <w:t>formal advice</w:t>
      </w:r>
      <w:r w:rsidR="000E7CF2">
        <w:t xml:space="preserve"> on </w:t>
      </w:r>
      <w:r w:rsidR="00047606">
        <w:t>nine</w:t>
      </w:r>
      <w:r w:rsidR="000E7CF2">
        <w:t xml:space="preserve"> occasions</w:t>
      </w:r>
      <w:r w:rsidRPr="00546AF1">
        <w:t xml:space="preserve"> </w:t>
      </w:r>
      <w:r w:rsidR="000E7CF2">
        <w:t>regarding</w:t>
      </w:r>
      <w:r w:rsidR="000E7CF2" w:rsidRPr="00546AF1">
        <w:t xml:space="preserve"> </w:t>
      </w:r>
      <w:r w:rsidR="000E405C" w:rsidRPr="00546AF1">
        <w:t>post</w:t>
      </w:r>
      <w:r w:rsidR="00047606">
        <w:noBreakHyphen/>
      </w:r>
      <w:r w:rsidR="000E405C" w:rsidRPr="00546AF1">
        <w:t xml:space="preserve">separation restraints on </w:t>
      </w:r>
      <w:r w:rsidR="00A66798" w:rsidRPr="00546AF1">
        <w:t>lobbying</w:t>
      </w:r>
      <w:r w:rsidR="000E7CF2">
        <w:t>,</w:t>
      </w:r>
      <w:r w:rsidR="00A66798" w:rsidRPr="00546AF1">
        <w:t xml:space="preserve"> </w:t>
      </w:r>
      <w:r w:rsidR="001C153C" w:rsidRPr="00546AF1">
        <w:t xml:space="preserve">and requests </w:t>
      </w:r>
      <w:r w:rsidR="000E7CF2">
        <w:t xml:space="preserve">for advice of this nature commonly </w:t>
      </w:r>
      <w:r w:rsidR="001C153C" w:rsidRPr="00546AF1">
        <w:t xml:space="preserve">occurred in conjunction with </w:t>
      </w:r>
      <w:r w:rsidR="000E7CF2">
        <w:t xml:space="preserve">the </w:t>
      </w:r>
      <w:r w:rsidR="000E7CF2" w:rsidRPr="00546AF1">
        <w:t>provi</w:t>
      </w:r>
      <w:r w:rsidR="000E7CF2">
        <w:t>sion</w:t>
      </w:r>
      <w:r w:rsidR="000E7CF2" w:rsidRPr="00546AF1">
        <w:t xml:space="preserve"> </w:t>
      </w:r>
      <w:r w:rsidR="000E7CF2">
        <w:t xml:space="preserve">of </w:t>
      </w:r>
      <w:r w:rsidR="004D05A9" w:rsidRPr="00546AF1">
        <w:t xml:space="preserve">general advice </w:t>
      </w:r>
      <w:r w:rsidR="000E7CF2">
        <w:t xml:space="preserve">regarding </w:t>
      </w:r>
      <w:r w:rsidR="004D05A9" w:rsidRPr="00546AF1">
        <w:t>post</w:t>
      </w:r>
      <w:r w:rsidR="00047606">
        <w:noBreakHyphen/>
      </w:r>
      <w:r w:rsidR="004D05A9" w:rsidRPr="00546AF1">
        <w:t xml:space="preserve">separation </w:t>
      </w:r>
      <w:r w:rsidR="000E7CF2">
        <w:t>obligations</w:t>
      </w:r>
      <w:r w:rsidR="001C153C" w:rsidRPr="00546AF1">
        <w:t xml:space="preserve">. Due to the </w:t>
      </w:r>
      <w:r w:rsidR="00CE75ED" w:rsidRPr="00546AF1">
        <w:t xml:space="preserve">inherent </w:t>
      </w:r>
      <w:r w:rsidR="001D4523" w:rsidRPr="00546AF1">
        <w:t>nexus between the two</w:t>
      </w:r>
      <w:r w:rsidRPr="00546AF1">
        <w:t xml:space="preserve"> areas</w:t>
      </w:r>
      <w:r w:rsidR="00D21D6A" w:rsidRPr="00546AF1">
        <w:t xml:space="preserve"> of post</w:t>
      </w:r>
      <w:r w:rsidR="00047606">
        <w:noBreakHyphen/>
      </w:r>
      <w:r w:rsidR="00D21D6A" w:rsidRPr="00546AF1">
        <w:t xml:space="preserve">separation </w:t>
      </w:r>
      <w:r w:rsidR="000E7CF2">
        <w:t>obligations and restrictions on lobbying activity</w:t>
      </w:r>
      <w:r w:rsidR="00170BFA">
        <w:t xml:space="preserve">, </w:t>
      </w:r>
      <w:r w:rsidR="001D4523" w:rsidRPr="00546AF1">
        <w:t xml:space="preserve">more information about </w:t>
      </w:r>
      <w:r w:rsidR="000E7CF2">
        <w:t xml:space="preserve">the provision of </w:t>
      </w:r>
      <w:r w:rsidR="001D4523" w:rsidRPr="00546AF1">
        <w:t>post</w:t>
      </w:r>
      <w:r w:rsidR="00047606">
        <w:noBreakHyphen/>
      </w:r>
      <w:r w:rsidR="001D4523" w:rsidRPr="00546AF1">
        <w:t xml:space="preserve">separation advice </w:t>
      </w:r>
      <w:r w:rsidR="000E7CF2">
        <w:t xml:space="preserve">is detailed </w:t>
      </w:r>
      <w:r w:rsidR="00A0793A">
        <w:t>on the following page</w:t>
      </w:r>
      <w:r w:rsidR="00CE75ED" w:rsidRPr="00546AF1">
        <w:t xml:space="preserve">. </w:t>
      </w:r>
    </w:p>
    <w:p w14:paraId="142EFBD3" w14:textId="77777777" w:rsidR="000E405C" w:rsidRPr="00546AF1" w:rsidRDefault="000E405C" w:rsidP="00EB6567">
      <w:pPr>
        <w:pStyle w:val="Style1"/>
      </w:pPr>
    </w:p>
    <w:p w14:paraId="1B843333" w14:textId="729BEF6D" w:rsidR="00FC3126" w:rsidRPr="00546AF1" w:rsidRDefault="00096E36" w:rsidP="00EB6567">
      <w:pPr>
        <w:pStyle w:val="Style1"/>
      </w:pPr>
      <w:r w:rsidRPr="00546AF1">
        <w:lastRenderedPageBreak/>
        <w:t>T</w:t>
      </w:r>
      <w:r w:rsidR="004D05A9" w:rsidRPr="00546AF1">
        <w:t xml:space="preserve">he office </w:t>
      </w:r>
      <w:r w:rsidR="00FC3126" w:rsidRPr="00546AF1">
        <w:t xml:space="preserve">also </w:t>
      </w:r>
      <w:r w:rsidR="004D05A9" w:rsidRPr="00546AF1">
        <w:t>dealt with more than 1</w:t>
      </w:r>
      <w:r w:rsidR="00592176">
        <w:t>,</w:t>
      </w:r>
      <w:r w:rsidR="004D05A9" w:rsidRPr="00546AF1">
        <w:t>545 enquiries or other communications about the use of the lobbyists register</w:t>
      </w:r>
      <w:r w:rsidR="000E7CF2">
        <w:t xml:space="preserve"> and lobbying in general</w:t>
      </w:r>
      <w:r w:rsidR="00DB03EE" w:rsidRPr="00546AF1">
        <w:t xml:space="preserve">, as well as </w:t>
      </w:r>
      <w:r w:rsidRPr="00236E74">
        <w:t xml:space="preserve">receiving </w:t>
      </w:r>
      <w:r w:rsidR="00DB03EE" w:rsidRPr="00236E74">
        <w:t>38 requests</w:t>
      </w:r>
      <w:r w:rsidR="00DB03EE" w:rsidRPr="00546AF1">
        <w:t xml:space="preserve"> for </w:t>
      </w:r>
      <w:r w:rsidRPr="00546AF1">
        <w:t xml:space="preserve">specific </w:t>
      </w:r>
      <w:r w:rsidR="00DB03EE" w:rsidRPr="00546AF1">
        <w:t xml:space="preserve">advice </w:t>
      </w:r>
      <w:r w:rsidRPr="00546AF1">
        <w:t xml:space="preserve">on more complex issues </w:t>
      </w:r>
      <w:r w:rsidR="009E4CEC" w:rsidRPr="00546AF1">
        <w:t xml:space="preserve">involving lobbying, for example, interpretation </w:t>
      </w:r>
      <w:r w:rsidR="000E7CF2">
        <w:t xml:space="preserve">and application </w:t>
      </w:r>
      <w:r w:rsidR="009E4CEC" w:rsidRPr="00546AF1">
        <w:t xml:space="preserve">of the Act. </w:t>
      </w:r>
    </w:p>
    <w:p w14:paraId="3AC85A72" w14:textId="77777777" w:rsidR="00FC3126" w:rsidRPr="00546AF1" w:rsidRDefault="00FC3126" w:rsidP="00EB6567">
      <w:pPr>
        <w:pStyle w:val="Style1"/>
      </w:pPr>
    </w:p>
    <w:p w14:paraId="010FD610" w14:textId="12C97907" w:rsidR="0037081A" w:rsidRPr="00546AF1" w:rsidRDefault="00FC3126" w:rsidP="00EB6567">
      <w:pPr>
        <w:pStyle w:val="Style1"/>
      </w:pPr>
      <w:r w:rsidRPr="00546AF1">
        <w:t xml:space="preserve">These figures </w:t>
      </w:r>
      <w:r w:rsidR="006647CE" w:rsidRPr="00546AF1">
        <w:t>represent</w:t>
      </w:r>
      <w:r w:rsidR="0037081A" w:rsidRPr="00546AF1">
        <w:t xml:space="preserve"> </w:t>
      </w:r>
      <w:r w:rsidR="006647CE" w:rsidRPr="00546AF1">
        <w:t xml:space="preserve">a further </w:t>
      </w:r>
      <w:r w:rsidR="0037081A" w:rsidRPr="00546AF1">
        <w:t>increase on last year</w:t>
      </w:r>
      <w:r w:rsidR="006647CE" w:rsidRPr="00546AF1">
        <w:t xml:space="preserve">’s activity levels as shown in Table 3 below. </w:t>
      </w:r>
    </w:p>
    <w:p w14:paraId="044C1924" w14:textId="07C642D0" w:rsidR="0037081A" w:rsidRPr="00546AF1" w:rsidRDefault="0037081A" w:rsidP="00BE4B1E">
      <w:pPr>
        <w:rPr>
          <w:rFonts w:ascii="Times New Roman" w:hAnsi="Times New Roman"/>
          <w:szCs w:val="20"/>
        </w:rPr>
      </w:pPr>
    </w:p>
    <w:p w14:paraId="5BFDD1D8" w14:textId="6DF8F78E" w:rsidR="00CA6CFD" w:rsidRPr="00546AF1" w:rsidRDefault="00CA6CFD" w:rsidP="00BE4B1E">
      <w:pPr>
        <w:rPr>
          <w:rFonts w:ascii="Times New Roman" w:hAnsi="Times New Roman"/>
          <w:szCs w:val="20"/>
        </w:rPr>
      </w:pPr>
      <w:r w:rsidRPr="00546AF1">
        <w:rPr>
          <w:rFonts w:ascii="Times New Roman" w:hAnsi="Times New Roman"/>
          <w:noProof/>
        </w:rPr>
        <w:drawing>
          <wp:inline distT="0" distB="0" distL="0" distR="0" wp14:anchorId="033DEF9C" wp14:editId="359E3D88">
            <wp:extent cx="5701086" cy="2401294"/>
            <wp:effectExtent l="0" t="0" r="0" b="0"/>
            <wp:docPr id="35" name="Chart 35">
              <a:extLst xmlns:a="http://schemas.openxmlformats.org/drawingml/2006/main">
                <a:ext uri="{FF2B5EF4-FFF2-40B4-BE49-F238E27FC236}">
                  <a16:creationId xmlns:a16="http://schemas.microsoft.com/office/drawing/2014/main" id="{EF1091AB-BC0F-4843-8EFA-5CF20EB05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1F7D333" w14:textId="77777777" w:rsidR="00A8407F" w:rsidRPr="00710D72" w:rsidRDefault="00A8407F" w:rsidP="00710D72">
      <w:pPr>
        <w:rPr>
          <w:rFonts w:ascii="Times New Roman" w:hAnsi="Times New Roman"/>
        </w:rPr>
      </w:pPr>
      <w:bookmarkStart w:id="61" w:name="_Toc83044375"/>
    </w:p>
    <w:p w14:paraId="766D2263" w14:textId="0D44CE86" w:rsidR="00C41BA6" w:rsidRPr="00546AF1" w:rsidRDefault="00C41BA6" w:rsidP="00F41A4B">
      <w:pPr>
        <w:pStyle w:val="Heading3"/>
      </w:pPr>
      <w:bookmarkStart w:id="62" w:name="_Toc83731443"/>
      <w:bookmarkStart w:id="63" w:name="_Toc83802771"/>
      <w:bookmarkStart w:id="64" w:name="_Toc83822856"/>
      <w:r w:rsidRPr="00546AF1">
        <w:t>Post</w:t>
      </w:r>
      <w:r w:rsidR="00047606">
        <w:noBreakHyphen/>
      </w:r>
      <w:r w:rsidRPr="00546AF1">
        <w:t>Separation Restraints</w:t>
      </w:r>
      <w:bookmarkEnd w:id="61"/>
      <w:bookmarkEnd w:id="62"/>
      <w:bookmarkEnd w:id="63"/>
      <w:bookmarkEnd w:id="64"/>
    </w:p>
    <w:p w14:paraId="40BE8C56" w14:textId="3DB8AB57" w:rsidR="008A6929" w:rsidRPr="00236E74" w:rsidRDefault="008A6929" w:rsidP="00EB6567">
      <w:pPr>
        <w:pStyle w:val="Style1"/>
        <w:rPr>
          <w:lang w:val="en-US"/>
        </w:rPr>
      </w:pPr>
      <w:r w:rsidRPr="00546AF1">
        <w:rPr>
          <w:lang w:val="en-US"/>
        </w:rPr>
        <w:t>Post</w:t>
      </w:r>
      <w:r w:rsidR="00047606">
        <w:rPr>
          <w:lang w:val="en-US"/>
        </w:rPr>
        <w:noBreakHyphen/>
      </w:r>
      <w:r w:rsidRPr="00546AF1">
        <w:rPr>
          <w:lang w:val="en-US"/>
        </w:rPr>
        <w:t xml:space="preserve">separation restraints exist to promote transparency and accountability, and to prevent former </w:t>
      </w:r>
      <w:r w:rsidR="000E7CF2">
        <w:rPr>
          <w:lang w:val="en-US"/>
        </w:rPr>
        <w:t>senior government representatives</w:t>
      </w:r>
      <w:r w:rsidRPr="00546AF1">
        <w:rPr>
          <w:lang w:val="en-US"/>
        </w:rPr>
        <w:t xml:space="preserve"> from taking personal advantage of </w:t>
      </w:r>
      <w:r w:rsidR="005B48A8">
        <w:rPr>
          <w:lang w:val="en-US"/>
        </w:rPr>
        <w:t xml:space="preserve">special </w:t>
      </w:r>
      <w:r w:rsidRPr="00546AF1">
        <w:rPr>
          <w:lang w:val="en-US"/>
        </w:rPr>
        <w:t>relations</w:t>
      </w:r>
      <w:r w:rsidR="000E7CF2">
        <w:rPr>
          <w:lang w:val="en-US"/>
        </w:rPr>
        <w:t>hips</w:t>
      </w:r>
      <w:r w:rsidRPr="00546AF1">
        <w:rPr>
          <w:lang w:val="en-US"/>
        </w:rPr>
        <w:t xml:space="preserve"> or </w:t>
      </w:r>
      <w:r w:rsidR="000E7CF2">
        <w:rPr>
          <w:lang w:val="en-US"/>
        </w:rPr>
        <w:t xml:space="preserve">confidential </w:t>
      </w:r>
      <w:r w:rsidRPr="00236E74">
        <w:rPr>
          <w:lang w:val="en-US"/>
        </w:rPr>
        <w:t>information acquired through their former positions.</w:t>
      </w:r>
    </w:p>
    <w:p w14:paraId="3A884108" w14:textId="77777777" w:rsidR="00C41BA6" w:rsidRPr="00236E74" w:rsidRDefault="00C41BA6" w:rsidP="00EB6567">
      <w:pPr>
        <w:pStyle w:val="Style1"/>
      </w:pPr>
    </w:p>
    <w:p w14:paraId="1833B18B" w14:textId="47629366" w:rsidR="00C41BA6" w:rsidRPr="00236E74" w:rsidRDefault="00C41BA6" w:rsidP="00EB6567">
      <w:pPr>
        <w:pStyle w:val="Style1"/>
      </w:pPr>
      <w:r w:rsidRPr="00236E74">
        <w:t>Section 70 of the</w:t>
      </w:r>
      <w:r w:rsidR="001959CA" w:rsidRPr="00236E74">
        <w:t xml:space="preserve"> Act </w:t>
      </w:r>
      <w:r w:rsidRPr="00236E74">
        <w:t xml:space="preserve">prohibits a ‘former senior government representative’, which includes a former ministerial staff member, from carrying out ‘related lobbying activity’ for a ‘third party client’ within two years of their separation from Queensland public sector employment. </w:t>
      </w:r>
    </w:p>
    <w:p w14:paraId="122ED6FF" w14:textId="77777777" w:rsidR="00C41BA6" w:rsidRPr="00236E74" w:rsidRDefault="00C41BA6" w:rsidP="00EB6567">
      <w:pPr>
        <w:pStyle w:val="Style1"/>
      </w:pPr>
    </w:p>
    <w:p w14:paraId="29FAC2A4" w14:textId="5AC4F647" w:rsidR="00C41BA6" w:rsidRPr="00236E74" w:rsidRDefault="00C41BA6" w:rsidP="00EB6567">
      <w:pPr>
        <w:pStyle w:val="Style1"/>
      </w:pPr>
      <w:r w:rsidRPr="00236E74">
        <w:t xml:space="preserve">‘Related lobbying activity’ refers to matters in which the ‘former senior government representative’ has had ‘official dealings’ in the two years prior to separation. While not defined in the </w:t>
      </w:r>
      <w:r w:rsidR="009F3E95" w:rsidRPr="009F3E95">
        <w:t>Act</w:t>
      </w:r>
      <w:r w:rsidRPr="00236E74">
        <w:t xml:space="preserve">, the </w:t>
      </w:r>
      <w:r w:rsidR="008C27A4" w:rsidRPr="00236E74">
        <w:t>QIC</w:t>
      </w:r>
      <w:r w:rsidR="0063520F" w:rsidRPr="00236E74">
        <w:t xml:space="preserve"> </w:t>
      </w:r>
      <w:r w:rsidRPr="00236E74">
        <w:t xml:space="preserve">considers that ‘official dealings’ would include even formal attendance at briefings or receiving confidential analysis on a particular matter. </w:t>
      </w:r>
    </w:p>
    <w:p w14:paraId="1409C46E" w14:textId="77777777" w:rsidR="00C41BA6" w:rsidRPr="00236E74" w:rsidRDefault="00C41BA6" w:rsidP="00EB6567">
      <w:pPr>
        <w:pStyle w:val="Style1"/>
      </w:pPr>
    </w:p>
    <w:p w14:paraId="55C161F0" w14:textId="2C40E36A" w:rsidR="00C41BA6" w:rsidRPr="00236E74" w:rsidRDefault="00C41BA6" w:rsidP="00EB6567">
      <w:pPr>
        <w:pStyle w:val="Style1"/>
      </w:pPr>
      <w:r w:rsidRPr="00236E74">
        <w:t xml:space="preserve">There is also an obligation </w:t>
      </w:r>
      <w:r w:rsidR="00381343" w:rsidRPr="00236E74">
        <w:t xml:space="preserve">imposed </w:t>
      </w:r>
      <w:r w:rsidRPr="00236E74">
        <w:t xml:space="preserve">under </w:t>
      </w:r>
      <w:r w:rsidR="00381343" w:rsidRPr="00236E74">
        <w:t xml:space="preserve">section 71(2) of </w:t>
      </w:r>
      <w:r w:rsidRPr="00236E74">
        <w:t>the</w:t>
      </w:r>
      <w:r w:rsidR="00381343" w:rsidRPr="00236E74">
        <w:t xml:space="preserve"> Act t</w:t>
      </w:r>
      <w:r w:rsidR="00E3225B" w:rsidRPr="00236E74">
        <w:t xml:space="preserve">o the effect that </w:t>
      </w:r>
      <w:r w:rsidRPr="00236E74">
        <w:t xml:space="preserve">current ministerial and government employees </w:t>
      </w:r>
      <w:r w:rsidR="00E3225B" w:rsidRPr="00236E74">
        <w:t xml:space="preserve">must </w:t>
      </w:r>
      <w:r w:rsidRPr="00236E74">
        <w:t>not meet with any ‘former senior government representative’ in circumstances that would give rise to a breach of the post</w:t>
      </w:r>
      <w:r w:rsidR="00047606">
        <w:noBreakHyphen/>
      </w:r>
      <w:r w:rsidRPr="00236E74">
        <w:t xml:space="preserve">separation restraints, including with respect to lobbying. </w:t>
      </w:r>
    </w:p>
    <w:p w14:paraId="76D713F1" w14:textId="77777777" w:rsidR="00C41BA6" w:rsidRPr="00236E74" w:rsidRDefault="00C41BA6" w:rsidP="00EB6567">
      <w:pPr>
        <w:pStyle w:val="Style1"/>
      </w:pPr>
    </w:p>
    <w:p w14:paraId="04EF9C65" w14:textId="30125EC1" w:rsidR="00651875" w:rsidRPr="00236E74" w:rsidRDefault="000E7CF2" w:rsidP="00EB6567">
      <w:pPr>
        <w:pStyle w:val="Style1"/>
      </w:pPr>
      <w:r w:rsidRPr="00236E74">
        <w:t>T</w:t>
      </w:r>
      <w:r w:rsidR="00AD14EB" w:rsidRPr="00236E74">
        <w:t xml:space="preserve">he </w:t>
      </w:r>
      <w:r w:rsidR="008C27A4" w:rsidRPr="00236E74">
        <w:t>QIC</w:t>
      </w:r>
      <w:r w:rsidR="0063520F" w:rsidRPr="00236E74">
        <w:t xml:space="preserve"> </w:t>
      </w:r>
      <w:r w:rsidR="00AD14EB" w:rsidRPr="00236E74">
        <w:t>was asked to provide advice on post</w:t>
      </w:r>
      <w:r w:rsidR="00047606">
        <w:noBreakHyphen/>
      </w:r>
      <w:r w:rsidR="00AD14EB" w:rsidRPr="00236E74">
        <w:t xml:space="preserve">separation obligations, including to persons prior to their separating from their role in government or ministerial service, on 26 occasions. </w:t>
      </w:r>
      <w:r w:rsidRPr="00236E74">
        <w:t>T</w:t>
      </w:r>
      <w:r w:rsidR="00651875" w:rsidRPr="00236E74">
        <w:t xml:space="preserve">hese requests </w:t>
      </w:r>
      <w:r w:rsidRPr="00236E74">
        <w:t xml:space="preserve">are included in the overall number of advice </w:t>
      </w:r>
      <w:r w:rsidR="00236E74" w:rsidRPr="00236E74">
        <w:t>requests</w:t>
      </w:r>
      <w:r w:rsidR="001632A6">
        <w:t xml:space="preserve"> </w:t>
      </w:r>
      <w:r w:rsidR="00236E74" w:rsidRPr="00236E74">
        <w:t>and</w:t>
      </w:r>
      <w:r w:rsidRPr="00236E74">
        <w:t xml:space="preserve"> </w:t>
      </w:r>
      <w:r w:rsidR="00651875" w:rsidRPr="00236E74">
        <w:t xml:space="preserve">accounted for over ten percent of all </w:t>
      </w:r>
      <w:r w:rsidRPr="00236E74">
        <w:t xml:space="preserve">advice </w:t>
      </w:r>
      <w:r w:rsidR="00651875" w:rsidRPr="00236E74">
        <w:t>requests</w:t>
      </w:r>
      <w:r w:rsidRPr="00236E74">
        <w:t xml:space="preserve"> received</w:t>
      </w:r>
      <w:r w:rsidR="00651875" w:rsidRPr="00236E74">
        <w:t xml:space="preserve">. </w:t>
      </w:r>
      <w:r w:rsidR="001632A6">
        <w:t>Fo</w:t>
      </w:r>
      <w:r w:rsidR="00651875" w:rsidRPr="00236E74">
        <w:t xml:space="preserve">rmal </w:t>
      </w:r>
      <w:r w:rsidRPr="00236E74">
        <w:t xml:space="preserve">written </w:t>
      </w:r>
      <w:r w:rsidR="00651875" w:rsidRPr="00236E74">
        <w:t xml:space="preserve">advice </w:t>
      </w:r>
      <w:r w:rsidRPr="00236E74">
        <w:t xml:space="preserve">was provided </w:t>
      </w:r>
      <w:r w:rsidR="00651875" w:rsidRPr="00236E74">
        <w:t xml:space="preserve">on </w:t>
      </w:r>
      <w:r w:rsidR="00047606">
        <w:t>nine</w:t>
      </w:r>
      <w:r w:rsidR="00651875" w:rsidRPr="00236E74">
        <w:t xml:space="preserve"> occasions</w:t>
      </w:r>
      <w:r w:rsidRPr="00236E74">
        <w:t>,</w:t>
      </w:r>
      <w:r w:rsidR="00651875" w:rsidRPr="00236E74">
        <w:t xml:space="preserve"> and these </w:t>
      </w:r>
      <w:proofErr w:type="gramStart"/>
      <w:r w:rsidR="00651875" w:rsidRPr="00236E74">
        <w:t>advices</w:t>
      </w:r>
      <w:proofErr w:type="gramEnd"/>
      <w:r w:rsidR="00651875" w:rsidRPr="00236E74">
        <w:t xml:space="preserve"> were </w:t>
      </w:r>
      <w:r w:rsidRPr="00236E74">
        <w:t xml:space="preserve">usually of a </w:t>
      </w:r>
      <w:r w:rsidR="00651875" w:rsidRPr="00236E74">
        <w:t>limited and general nature</w:t>
      </w:r>
      <w:r w:rsidR="00920ECB" w:rsidRPr="00236E74">
        <w:t>.</w:t>
      </w:r>
    </w:p>
    <w:p w14:paraId="1419B16A" w14:textId="38B7E90E" w:rsidR="00535D0C" w:rsidRPr="00236E74" w:rsidRDefault="00535D0C" w:rsidP="00EB6567">
      <w:pPr>
        <w:pStyle w:val="Style1"/>
      </w:pPr>
    </w:p>
    <w:p w14:paraId="109C7B11" w14:textId="3D14B69C" w:rsidR="002C796D" w:rsidRPr="00546AF1" w:rsidRDefault="00535D0C" w:rsidP="00EB6567">
      <w:pPr>
        <w:pStyle w:val="Style1"/>
      </w:pPr>
      <w:r w:rsidRPr="00236E74">
        <w:t xml:space="preserve">In determining whether to provide advice, the </w:t>
      </w:r>
      <w:r w:rsidR="000E7CF2" w:rsidRPr="00236E74">
        <w:t xml:space="preserve">QIC is </w:t>
      </w:r>
      <w:r w:rsidRPr="00236E74">
        <w:t xml:space="preserve">cognisant </w:t>
      </w:r>
      <w:r w:rsidR="000E7CF2" w:rsidRPr="00236E74">
        <w:t xml:space="preserve">of the fact </w:t>
      </w:r>
      <w:r w:rsidRPr="00236E74">
        <w:t xml:space="preserve">that </w:t>
      </w:r>
      <w:r w:rsidR="000E7CF2" w:rsidRPr="00236E74">
        <w:t xml:space="preserve">the definition of </w:t>
      </w:r>
      <w:r w:rsidR="00710D72">
        <w:rPr>
          <w:color w:val="000000"/>
          <w:lang w:val="en-US"/>
        </w:rPr>
        <w:t>post</w:t>
      </w:r>
      <w:r w:rsidR="00047606">
        <w:rPr>
          <w:color w:val="000000"/>
          <w:lang w:val="en-US"/>
        </w:rPr>
        <w:noBreakHyphen/>
      </w:r>
      <w:r w:rsidRPr="00236E74">
        <w:t xml:space="preserve">separation obligations </w:t>
      </w:r>
      <w:r w:rsidR="000E7CF2" w:rsidRPr="00236E74">
        <w:t xml:space="preserve">in </w:t>
      </w:r>
      <w:r w:rsidRPr="00236E74">
        <w:t>the Act</w:t>
      </w:r>
      <w:r w:rsidR="000E7CF2" w:rsidRPr="00236E74">
        <w:t xml:space="preserve"> </w:t>
      </w:r>
      <w:r w:rsidRPr="00236E74">
        <w:t>encompass</w:t>
      </w:r>
      <w:r w:rsidR="000E7CF2" w:rsidRPr="00236E74">
        <w:t>es</w:t>
      </w:r>
      <w:r w:rsidRPr="00236E74">
        <w:t xml:space="preserve"> a very broad range of obligations including an</w:t>
      </w:r>
      <w:r w:rsidR="00CA3281" w:rsidRPr="00236E74">
        <w:t>y</w:t>
      </w:r>
      <w:r w:rsidRPr="00236E74">
        <w:t xml:space="preserve"> obligation under an Act, contract of employment, directive, policy or code of conduct, that applies to the person because the person was (but is no longer) a designated person and relates to contact with a government</w:t>
      </w:r>
      <w:r w:rsidRPr="00546AF1">
        <w:t xml:space="preserve"> representative or Opposition representative.</w:t>
      </w:r>
      <w:r w:rsidRPr="00546AF1">
        <w:rPr>
          <w:rStyle w:val="FootnoteReference"/>
        </w:rPr>
        <w:footnoteReference w:id="1"/>
      </w:r>
      <w:r w:rsidRPr="00546AF1">
        <w:t xml:space="preserve"> </w:t>
      </w:r>
      <w:r w:rsidR="00CA3281" w:rsidRPr="00546AF1">
        <w:t xml:space="preserve">Further, </w:t>
      </w:r>
      <w:r w:rsidR="00F9530C" w:rsidRPr="00546AF1">
        <w:t xml:space="preserve">the definition also applies to </w:t>
      </w:r>
      <w:r w:rsidR="00F9530C" w:rsidRPr="00546AF1">
        <w:lastRenderedPageBreak/>
        <w:t>post</w:t>
      </w:r>
      <w:r w:rsidR="00047606">
        <w:noBreakHyphen/>
      </w:r>
      <w:r w:rsidR="00F9530C" w:rsidRPr="00546AF1">
        <w:t xml:space="preserve">separation obligations </w:t>
      </w:r>
      <w:r w:rsidR="00F9530C" w:rsidRPr="00546AF1">
        <w:rPr>
          <w:lang w:val="en-US"/>
        </w:rPr>
        <w:t xml:space="preserve">arising from </w:t>
      </w:r>
      <w:r w:rsidR="00F9530C" w:rsidRPr="00546AF1">
        <w:t xml:space="preserve">the private legal instruments entered into between the person and the government, and the person and their new employer. </w:t>
      </w:r>
    </w:p>
    <w:p w14:paraId="08E377C9" w14:textId="77777777" w:rsidR="002C796D" w:rsidRPr="00546AF1" w:rsidRDefault="002C796D" w:rsidP="00EB6567">
      <w:pPr>
        <w:pStyle w:val="Style1"/>
      </w:pPr>
    </w:p>
    <w:p w14:paraId="32F19FCC" w14:textId="23CED5C9" w:rsidR="00F9530C" w:rsidRPr="00546AF1" w:rsidRDefault="002C796D" w:rsidP="00EB6567">
      <w:pPr>
        <w:pStyle w:val="Style1"/>
      </w:pPr>
      <w:r w:rsidRPr="00546AF1">
        <w:t>In addition to the myriad of obligations arising from the</w:t>
      </w:r>
      <w:r w:rsidR="000E7CF2">
        <w:t xml:space="preserve"> definition of post</w:t>
      </w:r>
      <w:r w:rsidR="00047606">
        <w:noBreakHyphen/>
      </w:r>
      <w:r w:rsidR="000E7CF2">
        <w:t>separation obligation referred to above</w:t>
      </w:r>
      <w:r w:rsidR="00D87248">
        <w:t xml:space="preserve">, </w:t>
      </w:r>
      <w:r w:rsidRPr="00546AF1">
        <w:t xml:space="preserve">there are also </w:t>
      </w:r>
      <w:r w:rsidR="000D0418" w:rsidRPr="00546AF1">
        <w:t>post</w:t>
      </w:r>
      <w:r w:rsidR="00047606">
        <w:noBreakHyphen/>
      </w:r>
      <w:r w:rsidR="000D0418" w:rsidRPr="00546AF1">
        <w:t xml:space="preserve">separation restraints </w:t>
      </w:r>
      <w:r w:rsidR="000E7CF2">
        <w:t xml:space="preserve">that apply </w:t>
      </w:r>
      <w:r w:rsidR="000D0418" w:rsidRPr="00546AF1">
        <w:t>to lobbying</w:t>
      </w:r>
      <w:r w:rsidR="000E7CF2">
        <w:t xml:space="preserve"> activity</w:t>
      </w:r>
      <w:r w:rsidRPr="00546AF1">
        <w:t xml:space="preserve">. </w:t>
      </w:r>
    </w:p>
    <w:p w14:paraId="7A8C328B" w14:textId="77777777" w:rsidR="00F9530C" w:rsidRPr="00546AF1" w:rsidRDefault="00F9530C" w:rsidP="00EB6567">
      <w:pPr>
        <w:pStyle w:val="Style1"/>
      </w:pPr>
    </w:p>
    <w:p w14:paraId="6F7BEBBD" w14:textId="68649585" w:rsidR="00F9530C" w:rsidRDefault="00F9530C" w:rsidP="00EB6567">
      <w:pPr>
        <w:pStyle w:val="Style1"/>
        <w:rPr>
          <w:lang w:val="en-US"/>
        </w:rPr>
      </w:pPr>
      <w:r w:rsidRPr="00546AF1">
        <w:t xml:space="preserve">As a general proposition, the </w:t>
      </w:r>
      <w:r w:rsidR="008C27A4" w:rsidRPr="00546AF1">
        <w:t>QIC</w:t>
      </w:r>
      <w:r w:rsidR="0063520F" w:rsidRPr="00546AF1">
        <w:t xml:space="preserve"> </w:t>
      </w:r>
      <w:r w:rsidR="001F0507" w:rsidRPr="00546AF1">
        <w:t xml:space="preserve">will provide detailed advice about </w:t>
      </w:r>
      <w:r w:rsidR="005136FD" w:rsidRPr="00546AF1">
        <w:t>post</w:t>
      </w:r>
      <w:r w:rsidR="00047606">
        <w:noBreakHyphen/>
      </w:r>
      <w:r w:rsidR="005136FD" w:rsidRPr="00546AF1">
        <w:t xml:space="preserve">separation </w:t>
      </w:r>
      <w:r w:rsidR="001F0507" w:rsidRPr="00546AF1">
        <w:t xml:space="preserve">restraints </w:t>
      </w:r>
      <w:r w:rsidR="000E7CF2">
        <w:t xml:space="preserve">as they relate to </w:t>
      </w:r>
      <w:r w:rsidR="001F0507" w:rsidRPr="00546AF1">
        <w:t xml:space="preserve">lobbying </w:t>
      </w:r>
      <w:r w:rsidR="000E7CF2">
        <w:t xml:space="preserve">activities, </w:t>
      </w:r>
      <w:r w:rsidR="001F0507" w:rsidRPr="00546AF1">
        <w:t xml:space="preserve">based on a </w:t>
      </w:r>
      <w:r w:rsidR="00695A79" w:rsidRPr="00546AF1">
        <w:t>specific set of facts. H</w:t>
      </w:r>
      <w:r w:rsidR="001F0507" w:rsidRPr="00546AF1">
        <w:t xml:space="preserve">owever, </w:t>
      </w:r>
      <w:r w:rsidRPr="00546AF1">
        <w:rPr>
          <w:color w:val="000000" w:themeColor="text1"/>
        </w:rPr>
        <w:t xml:space="preserve">the </w:t>
      </w:r>
      <w:r w:rsidRPr="00546AF1">
        <w:rPr>
          <w:lang w:val="en-US"/>
        </w:rPr>
        <w:t>specific application of the various standards relating to post</w:t>
      </w:r>
      <w:r w:rsidR="00047606">
        <w:rPr>
          <w:lang w:val="en-US"/>
        </w:rPr>
        <w:noBreakHyphen/>
      </w:r>
      <w:r w:rsidRPr="00546AF1">
        <w:rPr>
          <w:lang w:val="en-US"/>
        </w:rPr>
        <w:t xml:space="preserve">separation obligations </w:t>
      </w:r>
      <w:r w:rsidR="003A190E" w:rsidRPr="00546AF1">
        <w:rPr>
          <w:lang w:val="en-US"/>
        </w:rPr>
        <w:t xml:space="preserve">arising from </w:t>
      </w:r>
      <w:r w:rsidR="003A190E" w:rsidRPr="00546AF1">
        <w:t xml:space="preserve">private legal instruments </w:t>
      </w:r>
      <w:proofErr w:type="gramStart"/>
      <w:r w:rsidR="003A190E" w:rsidRPr="00546AF1">
        <w:t>entered into</w:t>
      </w:r>
      <w:proofErr w:type="gramEnd"/>
      <w:r w:rsidR="003A190E" w:rsidRPr="00546AF1">
        <w:t xml:space="preserve"> between </w:t>
      </w:r>
      <w:r w:rsidR="005136FD" w:rsidRPr="00546AF1">
        <w:t xml:space="preserve">a </w:t>
      </w:r>
      <w:r w:rsidR="003A190E" w:rsidRPr="00546AF1">
        <w:t>person and the</w:t>
      </w:r>
      <w:r w:rsidR="005136FD" w:rsidRPr="00546AF1">
        <w:t xml:space="preserve">ir </w:t>
      </w:r>
      <w:r w:rsidR="00254B00" w:rsidRPr="00546AF1">
        <w:t xml:space="preserve">government </w:t>
      </w:r>
      <w:r w:rsidR="005136FD" w:rsidRPr="00546AF1">
        <w:t>employer</w:t>
      </w:r>
      <w:r w:rsidR="003A190E" w:rsidRPr="00546AF1">
        <w:t xml:space="preserve">, </w:t>
      </w:r>
      <w:r w:rsidR="00254B00" w:rsidRPr="00546AF1">
        <w:t xml:space="preserve">and/ </w:t>
      </w:r>
      <w:r w:rsidR="005136FD" w:rsidRPr="00546AF1">
        <w:t xml:space="preserve">or </w:t>
      </w:r>
      <w:r w:rsidR="003A190E" w:rsidRPr="00546AF1">
        <w:t>the person and their new employer</w:t>
      </w:r>
      <w:r w:rsidR="005136FD" w:rsidRPr="00546AF1">
        <w:t xml:space="preserve"> (if relevant)</w:t>
      </w:r>
      <w:r w:rsidR="003A190E" w:rsidRPr="00546AF1">
        <w:rPr>
          <w:lang w:val="en-US"/>
        </w:rPr>
        <w:t xml:space="preserve"> </w:t>
      </w:r>
      <w:r w:rsidRPr="00546AF1">
        <w:rPr>
          <w:lang w:val="en-US"/>
        </w:rPr>
        <w:t>are essentially legal questions</w:t>
      </w:r>
      <w:r w:rsidR="00254B00" w:rsidRPr="00546AF1">
        <w:rPr>
          <w:lang w:val="en-US"/>
        </w:rPr>
        <w:t xml:space="preserve"> about a person’s personal obligations and </w:t>
      </w:r>
      <w:r w:rsidR="000E7CF2">
        <w:rPr>
          <w:lang w:val="en-US"/>
        </w:rPr>
        <w:t xml:space="preserve">are to be resolved by reference to established </w:t>
      </w:r>
      <w:r w:rsidR="00236E74">
        <w:rPr>
          <w:lang w:val="en-US"/>
        </w:rPr>
        <w:t>legal</w:t>
      </w:r>
      <w:r w:rsidR="000E7CF2">
        <w:rPr>
          <w:lang w:val="en-US"/>
        </w:rPr>
        <w:t xml:space="preserve"> princip</w:t>
      </w:r>
      <w:r w:rsidR="00236E74">
        <w:rPr>
          <w:lang w:val="en-US"/>
        </w:rPr>
        <w:t>les</w:t>
      </w:r>
      <w:r w:rsidR="00254B00" w:rsidRPr="00546AF1">
        <w:rPr>
          <w:lang w:val="en-US"/>
        </w:rPr>
        <w:t xml:space="preserve">. The </w:t>
      </w:r>
      <w:r w:rsidR="008C27A4" w:rsidRPr="00546AF1">
        <w:rPr>
          <w:lang w:val="en-US"/>
        </w:rPr>
        <w:t>QIC</w:t>
      </w:r>
      <w:r w:rsidR="0063520F" w:rsidRPr="00546AF1">
        <w:rPr>
          <w:lang w:val="en-US"/>
        </w:rPr>
        <w:t xml:space="preserve"> </w:t>
      </w:r>
      <w:r w:rsidR="00254B00" w:rsidRPr="00546AF1">
        <w:rPr>
          <w:lang w:val="en-US"/>
        </w:rPr>
        <w:t>is not able to provide advice on such matters.</w:t>
      </w:r>
    </w:p>
    <w:p w14:paraId="4C8602D6" w14:textId="77777777" w:rsidR="00710D72" w:rsidRPr="00546AF1" w:rsidRDefault="00710D72" w:rsidP="00EB6567">
      <w:pPr>
        <w:pStyle w:val="Style1"/>
        <w:rPr>
          <w:lang w:val="en-US"/>
        </w:rPr>
      </w:pPr>
    </w:p>
    <w:p w14:paraId="54F67772" w14:textId="5E01B8EC" w:rsidR="00C8710B" w:rsidRPr="00546AF1" w:rsidRDefault="00C8710B" w:rsidP="00F41A4B">
      <w:pPr>
        <w:pStyle w:val="Heading3"/>
      </w:pPr>
      <w:bookmarkStart w:id="65" w:name="_Toc83731444"/>
      <w:bookmarkStart w:id="66" w:name="_Toc83802772"/>
      <w:bookmarkStart w:id="67" w:name="_Toc83822857"/>
      <w:r w:rsidRPr="00546AF1">
        <w:t>Efforts to increase transparency and better record keeping</w:t>
      </w:r>
      <w:bookmarkEnd w:id="65"/>
      <w:bookmarkEnd w:id="66"/>
      <w:bookmarkEnd w:id="67"/>
    </w:p>
    <w:p w14:paraId="6FEC577B" w14:textId="58A755AD" w:rsidR="006B0CD6" w:rsidRPr="00546AF1" w:rsidRDefault="006B0CD6" w:rsidP="00EB6567">
      <w:pPr>
        <w:pStyle w:val="Style1"/>
      </w:pPr>
      <w:r w:rsidRPr="00546AF1">
        <w:t xml:space="preserve">The </w:t>
      </w:r>
      <w:r w:rsidR="008C27A4" w:rsidRPr="00546AF1">
        <w:t>QIC</w:t>
      </w:r>
      <w:r w:rsidR="0063520F" w:rsidRPr="00546AF1">
        <w:t xml:space="preserve"> </w:t>
      </w:r>
      <w:r w:rsidRPr="00546AF1">
        <w:t>must keep a register of registered lobbyists.</w:t>
      </w:r>
      <w:r w:rsidRPr="00546AF1">
        <w:rPr>
          <w:rStyle w:val="FootnoteReference"/>
        </w:rPr>
        <w:footnoteReference w:id="2"/>
      </w:r>
      <w:r w:rsidRPr="00546AF1">
        <w:t xml:space="preserve"> The lobbyists register must be published on the </w:t>
      </w:r>
      <w:r w:rsidR="00D82004">
        <w:t>QIC</w:t>
      </w:r>
      <w:r w:rsidRPr="00546AF1">
        <w:t>’s website,</w:t>
      </w:r>
      <w:r w:rsidRPr="00546AF1">
        <w:rPr>
          <w:rStyle w:val="FootnoteReference"/>
        </w:rPr>
        <w:footnoteReference w:id="3"/>
      </w:r>
      <w:r w:rsidRPr="00546AF1">
        <w:t xml:space="preserve"> and must contain the following particulars for each registered lobbyist—</w:t>
      </w:r>
    </w:p>
    <w:p w14:paraId="58E4F940" w14:textId="27FF1AD5" w:rsidR="006B0CD6" w:rsidRPr="00546AF1" w:rsidRDefault="006B0CD6" w:rsidP="00EB6567">
      <w:pPr>
        <w:pStyle w:val="Style1"/>
        <w:numPr>
          <w:ilvl w:val="0"/>
          <w:numId w:val="42"/>
        </w:numPr>
      </w:pPr>
      <w:r w:rsidRPr="00546AF1">
        <w:t xml:space="preserve">the lobbyist’s name and business registration </w:t>
      </w:r>
      <w:proofErr w:type="gramStart"/>
      <w:r w:rsidRPr="00546AF1">
        <w:t>particulars;</w:t>
      </w:r>
      <w:proofErr w:type="gramEnd"/>
    </w:p>
    <w:p w14:paraId="633AF7EC" w14:textId="6F99D1DA" w:rsidR="006B0CD6" w:rsidRPr="00546AF1" w:rsidRDefault="006B0CD6" w:rsidP="00EB6567">
      <w:pPr>
        <w:pStyle w:val="Style1"/>
        <w:numPr>
          <w:ilvl w:val="0"/>
          <w:numId w:val="42"/>
        </w:numPr>
      </w:pPr>
      <w:r w:rsidRPr="00546AF1">
        <w:t xml:space="preserve">for each person (listed person) employed, </w:t>
      </w:r>
      <w:proofErr w:type="gramStart"/>
      <w:r w:rsidRPr="00546AF1">
        <w:t>contracted</w:t>
      </w:r>
      <w:proofErr w:type="gramEnd"/>
      <w:r w:rsidRPr="00546AF1">
        <w:t xml:space="preserve"> or otherwise engaged by the lobbyist to carry out a lobbying activity—</w:t>
      </w:r>
    </w:p>
    <w:p w14:paraId="6845F33F" w14:textId="3AD5D184" w:rsidR="006B0CD6" w:rsidRPr="00546AF1" w:rsidRDefault="006B0CD6" w:rsidP="00EB6567">
      <w:pPr>
        <w:pStyle w:val="Style1"/>
        <w:numPr>
          <w:ilvl w:val="0"/>
          <w:numId w:val="43"/>
        </w:numPr>
      </w:pPr>
      <w:r w:rsidRPr="00546AF1">
        <w:t>the person’s name and role; and</w:t>
      </w:r>
    </w:p>
    <w:p w14:paraId="5E91A1E9" w14:textId="5128F854" w:rsidR="006B0CD6" w:rsidRPr="00546AF1" w:rsidRDefault="006B0CD6" w:rsidP="00EB6567">
      <w:pPr>
        <w:pStyle w:val="Style1"/>
        <w:numPr>
          <w:ilvl w:val="0"/>
          <w:numId w:val="43"/>
        </w:numPr>
      </w:pPr>
      <w:r w:rsidRPr="00546AF1">
        <w:t xml:space="preserve">if the person is a former senior government representative or a former Opposition representative, the date the person became a former senior government representative or a former Opposition </w:t>
      </w:r>
      <w:proofErr w:type="gramStart"/>
      <w:r w:rsidRPr="00546AF1">
        <w:t>representative;</w:t>
      </w:r>
      <w:proofErr w:type="gramEnd"/>
    </w:p>
    <w:p w14:paraId="13FD4250" w14:textId="04D1B27D" w:rsidR="006B0CD6" w:rsidRPr="00546AF1" w:rsidRDefault="006B0CD6" w:rsidP="00EB6567">
      <w:pPr>
        <w:pStyle w:val="Style1"/>
        <w:numPr>
          <w:ilvl w:val="0"/>
          <w:numId w:val="42"/>
        </w:numPr>
      </w:pPr>
      <w:r w:rsidRPr="00546AF1">
        <w:t xml:space="preserve">the name of each current </w:t>
      </w:r>
      <w:proofErr w:type="gramStart"/>
      <w:r w:rsidRPr="00546AF1">
        <w:t>third party</w:t>
      </w:r>
      <w:proofErr w:type="gramEnd"/>
      <w:r w:rsidRPr="00546AF1">
        <w:t xml:space="preserve"> client of the lobbyist;</w:t>
      </w:r>
    </w:p>
    <w:p w14:paraId="75E5A24B" w14:textId="16544732" w:rsidR="006B0CD6" w:rsidRPr="00546AF1" w:rsidRDefault="006B0CD6" w:rsidP="00EB6567">
      <w:pPr>
        <w:pStyle w:val="Style1"/>
        <w:numPr>
          <w:ilvl w:val="0"/>
          <w:numId w:val="42"/>
        </w:numPr>
      </w:pPr>
      <w:r w:rsidRPr="00546AF1">
        <w:t xml:space="preserve">the name of each </w:t>
      </w:r>
      <w:proofErr w:type="gramStart"/>
      <w:r w:rsidRPr="00546AF1">
        <w:t>third party</w:t>
      </w:r>
      <w:proofErr w:type="gramEnd"/>
      <w:r w:rsidRPr="00546AF1">
        <w:t xml:space="preserve"> client for which the lobbyist has carried out a lobbying activity within the 12</w:t>
      </w:r>
      <w:r w:rsidR="00047606">
        <w:noBreakHyphen/>
      </w:r>
      <w:r w:rsidRPr="00546AF1">
        <w:t xml:space="preserve">month period before the lobbyist most recently gave the </w:t>
      </w:r>
      <w:r w:rsidR="008C27A4" w:rsidRPr="00546AF1">
        <w:t>QIC</w:t>
      </w:r>
      <w:r w:rsidR="009F3E95">
        <w:t xml:space="preserve"> </w:t>
      </w:r>
      <w:r w:rsidRPr="00546AF1">
        <w:t xml:space="preserve">the particulars under this division or section 53; and </w:t>
      </w:r>
    </w:p>
    <w:p w14:paraId="05901009" w14:textId="0835F70A" w:rsidR="006B0CD6" w:rsidRPr="00546AF1" w:rsidRDefault="006B0CD6" w:rsidP="00EB6567">
      <w:pPr>
        <w:pStyle w:val="Style1"/>
        <w:numPr>
          <w:ilvl w:val="0"/>
          <w:numId w:val="42"/>
        </w:numPr>
      </w:pPr>
      <w:r w:rsidRPr="00546AF1">
        <w:t>other particulars prescribed under a regulation.</w:t>
      </w:r>
      <w:r w:rsidRPr="00546AF1">
        <w:rPr>
          <w:rStyle w:val="FootnoteReference"/>
        </w:rPr>
        <w:footnoteReference w:id="4"/>
      </w:r>
    </w:p>
    <w:p w14:paraId="5A9FE4FF" w14:textId="4320E54D" w:rsidR="006B0CD6" w:rsidRPr="00546AF1" w:rsidRDefault="006B0CD6" w:rsidP="00EB6567">
      <w:pPr>
        <w:pStyle w:val="Style1"/>
      </w:pPr>
    </w:p>
    <w:p w14:paraId="3F544DF7" w14:textId="6283DBFE" w:rsidR="008E781D" w:rsidRPr="00546AF1" w:rsidRDefault="008E781D" w:rsidP="00EB6567">
      <w:pPr>
        <w:pStyle w:val="Style1"/>
      </w:pPr>
      <w:r w:rsidRPr="00546AF1">
        <w:t xml:space="preserve">Further, the </w:t>
      </w:r>
      <w:r w:rsidRPr="00236E74">
        <w:rPr>
          <w:i/>
          <w:iCs/>
        </w:rPr>
        <w:t>Public Records Act 2002</w:t>
      </w:r>
      <w:r w:rsidRPr="00546AF1">
        <w:t xml:space="preserve"> provides that a public authority must make and keep full and accurate records of its activities.</w:t>
      </w:r>
      <w:r w:rsidRPr="00546AF1">
        <w:rPr>
          <w:rStyle w:val="FootnoteReference"/>
        </w:rPr>
        <w:footnoteReference w:id="5"/>
      </w:r>
      <w:r w:rsidRPr="00546AF1">
        <w:t xml:space="preserve"> </w:t>
      </w:r>
    </w:p>
    <w:p w14:paraId="60098C91" w14:textId="69628F75" w:rsidR="006B0CD6" w:rsidRPr="00546AF1" w:rsidRDefault="006B0CD6" w:rsidP="00710D72">
      <w:pPr>
        <w:spacing w:line="276" w:lineRule="auto"/>
        <w:rPr>
          <w:rFonts w:ascii="Times New Roman" w:hAnsi="Times New Roman"/>
          <w:szCs w:val="20"/>
        </w:rPr>
      </w:pPr>
    </w:p>
    <w:p w14:paraId="2F452D5C" w14:textId="6F5B90FF" w:rsidR="006B0CD6" w:rsidRPr="00546AF1" w:rsidRDefault="006B0CD6" w:rsidP="00EB6567">
      <w:pPr>
        <w:pStyle w:val="Style1"/>
      </w:pPr>
      <w:r w:rsidRPr="00546AF1">
        <w:t xml:space="preserve">The </w:t>
      </w:r>
      <w:r w:rsidR="008C27A4" w:rsidRPr="00546AF1">
        <w:t>QIC</w:t>
      </w:r>
      <w:r w:rsidR="0063520F" w:rsidRPr="00546AF1">
        <w:t xml:space="preserve"> </w:t>
      </w:r>
      <w:r w:rsidRPr="00546AF1">
        <w:t>is committed to promoting greater transparency and better record</w:t>
      </w:r>
      <w:r w:rsidR="00047606">
        <w:noBreakHyphen/>
      </w:r>
      <w:r w:rsidRPr="00546AF1">
        <w:t xml:space="preserve">keeping by public authorities and lobbyists. </w:t>
      </w:r>
      <w:r w:rsidR="000E7CF2">
        <w:t xml:space="preserve">In keeping with </w:t>
      </w:r>
      <w:r w:rsidRPr="00546AF1">
        <w:t>this commitment in 2019 a comprehensive annual lobbying audit program was introduced (</w:t>
      </w:r>
      <w:r w:rsidR="00364DF2">
        <w:t>l</w:t>
      </w:r>
      <w:r w:rsidRPr="00546AF1">
        <w:t xml:space="preserve">obbying audit). </w:t>
      </w:r>
    </w:p>
    <w:p w14:paraId="05267438" w14:textId="77777777" w:rsidR="006B0CD6" w:rsidRPr="00546AF1" w:rsidRDefault="006B0CD6" w:rsidP="00710D72">
      <w:pPr>
        <w:spacing w:line="276" w:lineRule="auto"/>
        <w:rPr>
          <w:rFonts w:ascii="Times New Roman" w:hAnsi="Times New Roman"/>
          <w:szCs w:val="20"/>
        </w:rPr>
      </w:pPr>
    </w:p>
    <w:p w14:paraId="0F44747A" w14:textId="0B7080ED" w:rsidR="00B23FDE" w:rsidRPr="00546AF1" w:rsidRDefault="00B23FDE" w:rsidP="00EB6567">
      <w:pPr>
        <w:pStyle w:val="Style1"/>
      </w:pPr>
      <w:r w:rsidRPr="00546AF1">
        <w:t xml:space="preserve">The annual audit involves </w:t>
      </w:r>
      <w:r w:rsidR="003F6999" w:rsidRPr="00546AF1">
        <w:t xml:space="preserve">the </w:t>
      </w:r>
      <w:r w:rsidR="000E7CF2">
        <w:t>QIC</w:t>
      </w:r>
      <w:r w:rsidR="000E7CF2" w:rsidRPr="00546AF1">
        <w:t xml:space="preserve"> </w:t>
      </w:r>
      <w:r w:rsidRPr="00546AF1">
        <w:t xml:space="preserve">writing to each </w:t>
      </w:r>
      <w:r w:rsidR="008F3C01" w:rsidRPr="00546AF1">
        <w:t xml:space="preserve">of the </w:t>
      </w:r>
      <w:r w:rsidR="000E7CF2">
        <w:t>21</w:t>
      </w:r>
      <w:r w:rsidR="000E7CF2" w:rsidRPr="00546AF1">
        <w:t xml:space="preserve"> </w:t>
      </w:r>
      <w:r w:rsidRPr="00546AF1">
        <w:t>chief executive</w:t>
      </w:r>
      <w:r w:rsidR="008F3C01" w:rsidRPr="00546AF1">
        <w:t>s</w:t>
      </w:r>
      <w:r w:rsidRPr="00546AF1">
        <w:t xml:space="preserve"> of department</w:t>
      </w:r>
      <w:r w:rsidR="008F3C01" w:rsidRPr="00546AF1">
        <w:t>s</w:t>
      </w:r>
      <w:r w:rsidRPr="00546AF1">
        <w:t xml:space="preserve"> of government, and each </w:t>
      </w:r>
      <w:r w:rsidR="008F3C01" w:rsidRPr="00546AF1">
        <w:t xml:space="preserve">of the 77 </w:t>
      </w:r>
      <w:r w:rsidRPr="00546AF1">
        <w:t>chief executive officer</w:t>
      </w:r>
      <w:r w:rsidR="008F3C01" w:rsidRPr="00546AF1">
        <w:t>s</w:t>
      </w:r>
      <w:r w:rsidRPr="00546AF1">
        <w:t xml:space="preserve"> of local government</w:t>
      </w:r>
      <w:r w:rsidR="008F3C01" w:rsidRPr="00546AF1">
        <w:t>s</w:t>
      </w:r>
      <w:r w:rsidRPr="00546AF1">
        <w:t>, during the month of November, and requesting that a review be undertaken of locally held records of contact with lobbyists, and that the local data be compared to the data entered on the lobbyists register, for the preceding 12</w:t>
      </w:r>
      <w:r w:rsidR="00047606">
        <w:noBreakHyphen/>
      </w:r>
      <w:r w:rsidRPr="00546AF1">
        <w:t>month period (</w:t>
      </w:r>
      <w:proofErr w:type="gramStart"/>
      <w:r w:rsidRPr="00546AF1">
        <w:t>i.e.</w:t>
      </w:r>
      <w:proofErr w:type="gramEnd"/>
      <w:r w:rsidR="00047606">
        <w:t> </w:t>
      </w:r>
      <w:r w:rsidRPr="00546AF1">
        <w:t>1</w:t>
      </w:r>
      <w:r w:rsidR="00047606">
        <w:t> </w:t>
      </w:r>
      <w:r w:rsidRPr="00546AF1">
        <w:t xml:space="preserve">December 2019 to 30 November 2020). </w:t>
      </w:r>
    </w:p>
    <w:p w14:paraId="50352D6F" w14:textId="77777777" w:rsidR="00B23FDE" w:rsidRPr="00546AF1" w:rsidRDefault="00B23FDE" w:rsidP="00EB6567">
      <w:pPr>
        <w:pStyle w:val="Style1"/>
      </w:pPr>
    </w:p>
    <w:p w14:paraId="231CCF3F" w14:textId="5FB76D98" w:rsidR="00B23FDE" w:rsidRPr="00546AF1" w:rsidRDefault="00790067" w:rsidP="00EB6567">
      <w:pPr>
        <w:pStyle w:val="Style1"/>
      </w:pPr>
      <w:r w:rsidRPr="00546AF1">
        <w:t xml:space="preserve">The </w:t>
      </w:r>
      <w:r w:rsidR="000E7CF2">
        <w:t>QIC</w:t>
      </w:r>
      <w:r w:rsidR="000E7CF2" w:rsidRPr="00546AF1">
        <w:t xml:space="preserve"> </w:t>
      </w:r>
      <w:r w:rsidR="00B23FDE" w:rsidRPr="00546AF1">
        <w:t>also request</w:t>
      </w:r>
      <w:r w:rsidRPr="00546AF1">
        <w:t>s</w:t>
      </w:r>
      <w:r w:rsidR="00B23FDE" w:rsidRPr="00546AF1">
        <w:t xml:space="preserve"> that each chief executive of a department of government forward </w:t>
      </w:r>
      <w:r w:rsidR="00BC3E27" w:rsidRPr="00546AF1">
        <w:t xml:space="preserve">the </w:t>
      </w:r>
      <w:r w:rsidR="00B23FDE" w:rsidRPr="00546AF1">
        <w:t xml:space="preserve">request to each </w:t>
      </w:r>
      <w:r w:rsidR="000E7CF2">
        <w:t xml:space="preserve">public sector </w:t>
      </w:r>
      <w:r w:rsidR="00B23FDE" w:rsidRPr="00546AF1">
        <w:t xml:space="preserve">entity within the relevant ministerial portfolio </w:t>
      </w:r>
      <w:r w:rsidR="000E7CF2">
        <w:t xml:space="preserve">to ensure that those entities </w:t>
      </w:r>
      <w:r w:rsidR="00B23FDE" w:rsidRPr="00546AF1">
        <w:t xml:space="preserve">also undertake this process. </w:t>
      </w:r>
    </w:p>
    <w:p w14:paraId="1A69514B" w14:textId="77777777" w:rsidR="00FF4A83" w:rsidRPr="00546AF1" w:rsidRDefault="00FF4A83" w:rsidP="00EB6567">
      <w:pPr>
        <w:pStyle w:val="Style1"/>
      </w:pPr>
    </w:p>
    <w:p w14:paraId="55605E9F" w14:textId="1A9B1930" w:rsidR="00FF4A83" w:rsidRPr="00546AF1" w:rsidRDefault="00FF4A83" w:rsidP="00EB6567">
      <w:pPr>
        <w:pStyle w:val="Style1"/>
      </w:pPr>
      <w:r w:rsidRPr="00546AF1">
        <w:lastRenderedPageBreak/>
        <w:t xml:space="preserve">In the event of a discrepancy between the locally held records and the lobbyists register, the discrepancies are reported to my office for assessment. </w:t>
      </w:r>
    </w:p>
    <w:p w14:paraId="31577567" w14:textId="77777777" w:rsidR="00B23FDE" w:rsidRPr="00546AF1" w:rsidRDefault="00B23FDE" w:rsidP="00EB6567">
      <w:pPr>
        <w:pStyle w:val="Style1"/>
      </w:pPr>
    </w:p>
    <w:p w14:paraId="774A99C7" w14:textId="4C69670B" w:rsidR="005A422C" w:rsidRPr="00546AF1" w:rsidRDefault="00B23FDE" w:rsidP="00EB6567">
      <w:pPr>
        <w:pStyle w:val="Style1"/>
      </w:pPr>
      <w:r w:rsidRPr="00546AF1">
        <w:t xml:space="preserve">Although </w:t>
      </w:r>
      <w:r w:rsidR="00FF4A83" w:rsidRPr="00546AF1">
        <w:t xml:space="preserve">the Act </w:t>
      </w:r>
      <w:r w:rsidRPr="00546AF1">
        <w:t xml:space="preserve">does not permit </w:t>
      </w:r>
      <w:r w:rsidR="00FF4A83" w:rsidRPr="00546AF1">
        <w:t xml:space="preserve">the </w:t>
      </w:r>
      <w:r w:rsidR="000E7CF2">
        <w:t>QIC</w:t>
      </w:r>
      <w:r w:rsidR="000E7CF2" w:rsidRPr="00546AF1">
        <w:t xml:space="preserve"> </w:t>
      </w:r>
      <w:r w:rsidRPr="00546AF1">
        <w:t xml:space="preserve">to compel any public sector officer to assist in undertaking the annual audit, </w:t>
      </w:r>
      <w:r w:rsidR="000276C6" w:rsidRPr="00546AF1">
        <w:t xml:space="preserve">this financial year the </w:t>
      </w:r>
      <w:r w:rsidRPr="00546AF1">
        <w:t xml:space="preserve">response of the chief executives of departments of government and chief executive officers of local governments </w:t>
      </w:r>
      <w:r w:rsidR="000276C6" w:rsidRPr="00546AF1">
        <w:t xml:space="preserve">was </w:t>
      </w:r>
      <w:r w:rsidRPr="00546AF1">
        <w:t>overwhelmingly positive</w:t>
      </w:r>
      <w:r w:rsidR="00BC3E27" w:rsidRPr="00546AF1">
        <w:t>. A</w:t>
      </w:r>
      <w:r w:rsidR="005A422C" w:rsidRPr="00546AF1">
        <w:t>ll local government chief executive officers</w:t>
      </w:r>
      <w:r w:rsidR="00BC3E27" w:rsidRPr="00546AF1">
        <w:t xml:space="preserve">, </w:t>
      </w:r>
      <w:r w:rsidR="005A422C" w:rsidRPr="00546AF1">
        <w:t xml:space="preserve">and </w:t>
      </w:r>
      <w:r w:rsidR="000E7CF2">
        <w:t>20</w:t>
      </w:r>
      <w:r w:rsidR="000E7CF2" w:rsidRPr="00546AF1">
        <w:t xml:space="preserve"> </w:t>
      </w:r>
      <w:r w:rsidR="005A422C" w:rsidRPr="00546AF1">
        <w:t>chief executives of departments</w:t>
      </w:r>
      <w:r w:rsidR="008F3C01" w:rsidRPr="00546AF1">
        <w:t xml:space="preserve"> </w:t>
      </w:r>
      <w:r w:rsidR="00BC3E27" w:rsidRPr="00546AF1">
        <w:t xml:space="preserve">of government, </w:t>
      </w:r>
      <w:r w:rsidR="000E7CF2" w:rsidRPr="00546AF1">
        <w:t>participate</w:t>
      </w:r>
      <w:r w:rsidR="000E7CF2">
        <w:t>d as requested</w:t>
      </w:r>
      <w:r w:rsidR="008F3C01" w:rsidRPr="00546AF1">
        <w:t xml:space="preserve">. </w:t>
      </w:r>
    </w:p>
    <w:p w14:paraId="40957F47" w14:textId="77777777" w:rsidR="00B23FDE" w:rsidRPr="00546AF1" w:rsidRDefault="00B23FDE" w:rsidP="00EB6567">
      <w:pPr>
        <w:pStyle w:val="Style1"/>
      </w:pPr>
    </w:p>
    <w:p w14:paraId="05EE7281" w14:textId="77777777" w:rsidR="00BF0E3C" w:rsidRPr="00546AF1" w:rsidRDefault="00B23FDE" w:rsidP="00EB6567">
      <w:pPr>
        <w:pStyle w:val="Style1"/>
      </w:pPr>
      <w:r w:rsidRPr="00546AF1">
        <w:t xml:space="preserve">As a result of the annual audit, 46 discrepancies were identified by chief executives of a department of government, and a further 57 discrepancies identified by chief executive officers of local governments. </w:t>
      </w:r>
    </w:p>
    <w:p w14:paraId="78DDD34C" w14:textId="77777777" w:rsidR="00BF0E3C" w:rsidRPr="00546AF1" w:rsidRDefault="00BF0E3C" w:rsidP="00EB6567">
      <w:pPr>
        <w:pStyle w:val="Style1"/>
      </w:pPr>
    </w:p>
    <w:p w14:paraId="4240AD26" w14:textId="6715E047" w:rsidR="00B23FDE" w:rsidRPr="00546AF1" w:rsidRDefault="00B23FDE" w:rsidP="00EB6567">
      <w:pPr>
        <w:pStyle w:val="Style1"/>
      </w:pPr>
      <w:r w:rsidRPr="00546AF1">
        <w:t xml:space="preserve">In total, 103 discrepancies were reported </w:t>
      </w:r>
      <w:proofErr w:type="gramStart"/>
      <w:r w:rsidRPr="00546AF1">
        <w:t>as a result of</w:t>
      </w:r>
      <w:proofErr w:type="gramEnd"/>
      <w:r w:rsidRPr="00546AF1">
        <w:t xml:space="preserve"> this year’s audit</w:t>
      </w:r>
      <w:r w:rsidR="00BF0E3C" w:rsidRPr="00546AF1">
        <w:t xml:space="preserve"> with a further </w:t>
      </w:r>
      <w:r w:rsidR="00932279">
        <w:t>five</w:t>
      </w:r>
      <w:r w:rsidR="00BF0E3C" w:rsidRPr="00546AF1">
        <w:t xml:space="preserve"> discrepancies </w:t>
      </w:r>
      <w:r w:rsidR="000E7CF2">
        <w:t>identified</w:t>
      </w:r>
      <w:r w:rsidR="000E7CF2" w:rsidRPr="00546AF1">
        <w:t xml:space="preserve"> </w:t>
      </w:r>
      <w:r w:rsidR="00BF0E3C" w:rsidRPr="00546AF1">
        <w:t>before or after the audit</w:t>
      </w:r>
      <w:r w:rsidR="000E7CF2">
        <w:t xml:space="preserve"> period</w:t>
      </w:r>
      <w:r w:rsidR="00BF0E3C" w:rsidRPr="00546AF1">
        <w:t xml:space="preserve">. </w:t>
      </w:r>
    </w:p>
    <w:p w14:paraId="463F59EE" w14:textId="77777777" w:rsidR="00B23FDE" w:rsidRPr="00546AF1" w:rsidRDefault="00B23FDE" w:rsidP="00EB6567">
      <w:pPr>
        <w:pStyle w:val="Style1"/>
      </w:pPr>
    </w:p>
    <w:p w14:paraId="0769D21C" w14:textId="015F3FFE" w:rsidR="00B23FDE" w:rsidRPr="00546AF1" w:rsidRDefault="00BF0E3C" w:rsidP="00EB6567">
      <w:pPr>
        <w:pStyle w:val="Style1"/>
      </w:pPr>
      <w:r w:rsidRPr="00546AF1">
        <w:t xml:space="preserve">The office is now </w:t>
      </w:r>
      <w:r w:rsidR="00B23FDE" w:rsidRPr="00546AF1">
        <w:t xml:space="preserve">in the process of assessing those discrepancies for possible further action. </w:t>
      </w:r>
      <w:r w:rsidR="005449D0">
        <w:t xml:space="preserve">A thematic analysis of the </w:t>
      </w:r>
      <w:r w:rsidR="005449D0" w:rsidRPr="00546AF1">
        <w:t>discrepancies</w:t>
      </w:r>
      <w:r w:rsidR="005449D0">
        <w:t xml:space="preserve"> will be available on the website of the QIC, shortly. </w:t>
      </w:r>
    </w:p>
    <w:p w14:paraId="0D87C6D8" w14:textId="2AE56161" w:rsidR="00C8710B" w:rsidRPr="00546AF1" w:rsidRDefault="00C8710B" w:rsidP="00BE4B1E">
      <w:pPr>
        <w:rPr>
          <w:rFonts w:ascii="Times New Roman" w:hAnsi="Times New Roman"/>
          <w:szCs w:val="20"/>
        </w:rPr>
      </w:pPr>
    </w:p>
    <w:p w14:paraId="14A61961" w14:textId="77777777" w:rsidR="00D20C2D" w:rsidRDefault="00D20C2D">
      <w:pPr>
        <w:jc w:val="left"/>
        <w:rPr>
          <w:rFonts w:ascii="Times New Roman" w:hAnsi="Times New Roman"/>
          <w:color w:val="5D876F"/>
          <w:sz w:val="28"/>
        </w:rPr>
      </w:pPr>
      <w:bookmarkStart w:id="68" w:name="_Toc83044376"/>
      <w:r>
        <w:br w:type="page"/>
      </w:r>
    </w:p>
    <w:p w14:paraId="3D7FABC9" w14:textId="624B2EE3" w:rsidR="00F41AD2" w:rsidRDefault="00D20C2D" w:rsidP="007C149C">
      <w:pPr>
        <w:pStyle w:val="Heading2"/>
      </w:pPr>
      <w:bookmarkStart w:id="69" w:name="_Toc83822858"/>
      <w:r>
        <w:lastRenderedPageBreak/>
        <w:t xml:space="preserve">9. </w:t>
      </w:r>
      <w:r w:rsidR="005704CE" w:rsidRPr="00546AF1">
        <w:t>Rais</w:t>
      </w:r>
      <w:r w:rsidR="003251A0" w:rsidRPr="00546AF1">
        <w:t xml:space="preserve">ing </w:t>
      </w:r>
      <w:r w:rsidR="008E02B6" w:rsidRPr="00546AF1">
        <w:t xml:space="preserve">public </w:t>
      </w:r>
      <w:r w:rsidR="005704CE" w:rsidRPr="00546AF1">
        <w:t>awareness of ethics and integrity</w:t>
      </w:r>
      <w:r w:rsidR="008E02B6" w:rsidRPr="00546AF1">
        <w:t xml:space="preserve"> matters</w:t>
      </w:r>
      <w:bookmarkEnd w:id="68"/>
      <w:bookmarkEnd w:id="69"/>
    </w:p>
    <w:p w14:paraId="7952A54F" w14:textId="77777777" w:rsidR="00296D9D" w:rsidRPr="00710D72" w:rsidRDefault="00296D9D" w:rsidP="00710D72">
      <w:pPr>
        <w:pStyle w:val="BodyText"/>
        <w:spacing w:before="0" w:after="0"/>
        <w:rPr>
          <w:rFonts w:ascii="Times New Roman" w:hAnsi="Times New Roman"/>
        </w:rPr>
      </w:pPr>
    </w:p>
    <w:p w14:paraId="6F6C8BF2" w14:textId="28B0FBA0" w:rsidR="000E7CF2" w:rsidRDefault="000E7CF2" w:rsidP="00EB6567">
      <w:pPr>
        <w:pStyle w:val="Style1"/>
      </w:pPr>
      <w:r>
        <w:t>One of t</w:t>
      </w:r>
      <w:r w:rsidRPr="00546AF1">
        <w:t xml:space="preserve">he </w:t>
      </w:r>
      <w:r w:rsidR="008C27A4" w:rsidRPr="00546AF1">
        <w:t>QIC</w:t>
      </w:r>
      <w:r>
        <w:t>’s functions</w:t>
      </w:r>
      <w:r w:rsidR="00674FDE" w:rsidRPr="00546AF1">
        <w:t xml:space="preserve"> </w:t>
      </w:r>
      <w:r w:rsidR="00C41BA6" w:rsidRPr="00546AF1">
        <w:t xml:space="preserve">is to raise public awareness of ethics or integrity issues by contributing to public discussion about the </w:t>
      </w:r>
      <w:r w:rsidR="00D82004">
        <w:t>QIC</w:t>
      </w:r>
      <w:r w:rsidR="00C41BA6" w:rsidRPr="00546AF1">
        <w:t xml:space="preserve">’s functions, and by raising public awareness of ethics and integrity issues more generally. </w:t>
      </w:r>
    </w:p>
    <w:p w14:paraId="1E60393C" w14:textId="77777777" w:rsidR="000E7CF2" w:rsidRDefault="000E7CF2" w:rsidP="00EB6567">
      <w:pPr>
        <w:pStyle w:val="Style1"/>
      </w:pPr>
    </w:p>
    <w:p w14:paraId="7F3293C7" w14:textId="52000454" w:rsidR="00C41BA6" w:rsidRPr="00546AF1" w:rsidRDefault="00C41BA6" w:rsidP="00EB6567">
      <w:pPr>
        <w:pStyle w:val="Style1"/>
      </w:pPr>
      <w:r w:rsidRPr="00546AF1">
        <w:t xml:space="preserve">Ethics and integrity issues are entwined in a broad range of matters concerning government structure, </w:t>
      </w:r>
      <w:proofErr w:type="gramStart"/>
      <w:r w:rsidRPr="00546AF1">
        <w:t>practices</w:t>
      </w:r>
      <w:proofErr w:type="gramEnd"/>
      <w:r w:rsidRPr="00546AF1">
        <w:t xml:space="preserve"> and policies, and </w:t>
      </w:r>
      <w:r w:rsidR="00D1659A">
        <w:t xml:space="preserve">the QIC’s </w:t>
      </w:r>
      <w:r w:rsidRPr="00546AF1">
        <w:t>contributions to enhanc</w:t>
      </w:r>
      <w:r w:rsidR="00A123B8" w:rsidRPr="00546AF1">
        <w:t>ing</w:t>
      </w:r>
      <w:r w:rsidRPr="00546AF1">
        <w:t xml:space="preserve"> awareness is </w:t>
      </w:r>
      <w:r w:rsidR="00A123B8" w:rsidRPr="00546AF1">
        <w:t xml:space="preserve">critical. </w:t>
      </w:r>
    </w:p>
    <w:p w14:paraId="12661CD2" w14:textId="726C66D3" w:rsidR="00C93169" w:rsidRPr="00546AF1" w:rsidRDefault="00C93169" w:rsidP="00EB6567">
      <w:pPr>
        <w:pStyle w:val="Style1"/>
      </w:pPr>
    </w:p>
    <w:p w14:paraId="43B191E1" w14:textId="4210314B" w:rsidR="00C93169" w:rsidRPr="00546AF1" w:rsidRDefault="00C93169" w:rsidP="00EB6567">
      <w:pPr>
        <w:pStyle w:val="Style1"/>
      </w:pPr>
      <w:r w:rsidRPr="00546AF1">
        <w:t xml:space="preserve">Detailed below are the key events the </w:t>
      </w:r>
      <w:r w:rsidR="00D1659A">
        <w:t xml:space="preserve">QIC </w:t>
      </w:r>
      <w:r w:rsidRPr="00546AF1">
        <w:t xml:space="preserve">was involved </w:t>
      </w:r>
      <w:r w:rsidR="00F02064" w:rsidRPr="00546AF1">
        <w:t>with,</w:t>
      </w:r>
      <w:r w:rsidRPr="00546AF1">
        <w:t xml:space="preserve"> and more information can be found on the website </w:t>
      </w:r>
      <w:r w:rsidR="002A0820" w:rsidRPr="00546AF1">
        <w:t>of</w:t>
      </w:r>
      <w:r w:rsidRPr="00546AF1">
        <w:t xml:space="preserve"> the </w:t>
      </w:r>
      <w:r w:rsidR="000E7CF2">
        <w:t>QIC</w:t>
      </w:r>
      <w:r w:rsidRPr="00546AF1">
        <w:t xml:space="preserve">. </w:t>
      </w:r>
    </w:p>
    <w:p w14:paraId="525C28C9" w14:textId="77777777" w:rsidR="00C41BA6" w:rsidRPr="00546AF1" w:rsidRDefault="00C41BA6" w:rsidP="00BE4B1E">
      <w:pPr>
        <w:rPr>
          <w:rFonts w:ascii="Times New Roman" w:hAnsi="Times New Roman"/>
          <w:szCs w:val="20"/>
        </w:rPr>
      </w:pPr>
    </w:p>
    <w:p w14:paraId="290A940F" w14:textId="77777777" w:rsidR="000A75EC" w:rsidRPr="00546AF1" w:rsidRDefault="000A75EC" w:rsidP="00F41A4B">
      <w:pPr>
        <w:pStyle w:val="Heading3"/>
      </w:pPr>
      <w:bookmarkStart w:id="70" w:name="_Toc83731446"/>
      <w:bookmarkStart w:id="71" w:name="_Toc83802774"/>
      <w:bookmarkStart w:id="72" w:name="_Toc83822859"/>
      <w:r w:rsidRPr="00546AF1">
        <w:t>Inaugural Integrity Summit</w:t>
      </w:r>
      <w:bookmarkEnd w:id="70"/>
      <w:bookmarkEnd w:id="71"/>
      <w:bookmarkEnd w:id="72"/>
    </w:p>
    <w:p w14:paraId="005BDD43" w14:textId="6D59EDE4" w:rsidR="0002705B" w:rsidRPr="00546AF1" w:rsidRDefault="000A75EC" w:rsidP="00EB6567">
      <w:pPr>
        <w:pStyle w:val="Style1"/>
      </w:pPr>
      <w:r w:rsidRPr="00546AF1">
        <w:t xml:space="preserve">The </w:t>
      </w:r>
      <w:r w:rsidR="000E7CF2">
        <w:t xml:space="preserve">inaugural </w:t>
      </w:r>
      <w:r w:rsidR="00963023" w:rsidRPr="00546AF1">
        <w:t>‘</w:t>
      </w:r>
      <w:r w:rsidRPr="00546AF1">
        <w:t>Integrity Summit</w:t>
      </w:r>
      <w:r w:rsidR="00963023" w:rsidRPr="00546AF1">
        <w:t>’</w:t>
      </w:r>
      <w:r w:rsidRPr="00546AF1">
        <w:t xml:space="preserve"> was held in Brisbane on 25 March 2021. </w:t>
      </w:r>
      <w:r w:rsidR="0002705B" w:rsidRPr="00546AF1">
        <w:t xml:space="preserve">The theme for the summit was ‘Lobbying and the public sector’ and was chosen because of the </w:t>
      </w:r>
      <w:proofErr w:type="gramStart"/>
      <w:r w:rsidR="0002705B" w:rsidRPr="00546AF1">
        <w:t>particular relevance</w:t>
      </w:r>
      <w:proofErr w:type="gramEnd"/>
      <w:r w:rsidR="000E7CF2">
        <w:t xml:space="preserve"> of this topic</w:t>
      </w:r>
      <w:r w:rsidR="0002705B" w:rsidRPr="00546AF1">
        <w:t xml:space="preserve"> to all integrity agencies across Australia. </w:t>
      </w:r>
    </w:p>
    <w:p w14:paraId="34F7484A" w14:textId="77777777" w:rsidR="002A0820" w:rsidRPr="00546AF1" w:rsidRDefault="002A0820" w:rsidP="00EB6567">
      <w:pPr>
        <w:pStyle w:val="Style1"/>
      </w:pPr>
    </w:p>
    <w:p w14:paraId="19DC6FE5" w14:textId="2F6EEDF0" w:rsidR="00747307" w:rsidRPr="00546AF1" w:rsidRDefault="00747307" w:rsidP="00EB6567">
      <w:pPr>
        <w:pStyle w:val="Style1"/>
      </w:pPr>
      <w:r w:rsidRPr="00546AF1">
        <w:t xml:space="preserve">The meeting was convened by the </w:t>
      </w:r>
      <w:r w:rsidR="00674FDE" w:rsidRPr="00546AF1">
        <w:t>QIC</w:t>
      </w:r>
      <w:r w:rsidRPr="00546AF1">
        <w:t>, the Queensland Crime and Corruption Commission and the Independent Commissioner Against Corruption, South Australia</w:t>
      </w:r>
      <w:r w:rsidR="00CF288E" w:rsidRPr="00546AF1">
        <w:t xml:space="preserve">. </w:t>
      </w:r>
    </w:p>
    <w:p w14:paraId="20CDFDB7" w14:textId="77777777" w:rsidR="000A75EC" w:rsidRPr="00546AF1" w:rsidRDefault="000A75EC" w:rsidP="00EB6567">
      <w:pPr>
        <w:pStyle w:val="Style1"/>
      </w:pPr>
    </w:p>
    <w:p w14:paraId="784D3D1E" w14:textId="5C458910" w:rsidR="000A75EC" w:rsidRPr="00546AF1" w:rsidRDefault="000A75EC" w:rsidP="00EB6567">
      <w:pPr>
        <w:pStyle w:val="Style1"/>
      </w:pPr>
      <w:r w:rsidRPr="00546AF1">
        <w:t>Attendees included representatives of more than 20 different agencies across several jurisdictions</w:t>
      </w:r>
      <w:r w:rsidR="002A0820" w:rsidRPr="00546AF1">
        <w:t xml:space="preserve"> and the key theme to emerge was that attendees </w:t>
      </w:r>
      <w:r w:rsidRPr="00546AF1">
        <w:t>overwhelmingly shared the view that equal access to decision</w:t>
      </w:r>
      <w:r w:rsidR="00047606">
        <w:noBreakHyphen/>
      </w:r>
      <w:r w:rsidRPr="00546AF1">
        <w:t>makers and ensuring decisions are free from undue influence are centrally important to good government.</w:t>
      </w:r>
    </w:p>
    <w:p w14:paraId="37870ECA" w14:textId="534F39B7" w:rsidR="002A0820" w:rsidRPr="00546AF1" w:rsidRDefault="002A0820" w:rsidP="00EB6567">
      <w:pPr>
        <w:pStyle w:val="Style1"/>
      </w:pPr>
    </w:p>
    <w:p w14:paraId="2166159F" w14:textId="4DAAE814" w:rsidR="002A0820" w:rsidRPr="00546AF1" w:rsidRDefault="002A0820" w:rsidP="00EB6567">
      <w:pPr>
        <w:pStyle w:val="Style1"/>
      </w:pPr>
      <w:r w:rsidRPr="00546AF1">
        <w:t xml:space="preserve">A summary of the day’s </w:t>
      </w:r>
      <w:r w:rsidR="00D324E6" w:rsidRPr="00546AF1">
        <w:t>l</w:t>
      </w:r>
      <w:r w:rsidRPr="00546AF1">
        <w:t xml:space="preserve">earning will be available via the website of the </w:t>
      </w:r>
      <w:r w:rsidR="008C27A4" w:rsidRPr="00546AF1">
        <w:t>QIC</w:t>
      </w:r>
      <w:r w:rsidR="00674FDE" w:rsidRPr="00546AF1">
        <w:t xml:space="preserve"> </w:t>
      </w:r>
      <w:proofErr w:type="gramStart"/>
      <w:r w:rsidR="00CF288E" w:rsidRPr="00546AF1">
        <w:t>and also</w:t>
      </w:r>
      <w:proofErr w:type="gramEnd"/>
      <w:r w:rsidR="00CF288E" w:rsidRPr="00546AF1">
        <w:t xml:space="preserve"> via the website of the Crime and Corruption Commission. </w:t>
      </w:r>
    </w:p>
    <w:p w14:paraId="1DAF7447" w14:textId="77777777" w:rsidR="00CF288E" w:rsidRPr="00546AF1" w:rsidRDefault="00CF288E" w:rsidP="00EB6567">
      <w:pPr>
        <w:pStyle w:val="Style1"/>
      </w:pPr>
    </w:p>
    <w:p w14:paraId="71B3C80A" w14:textId="5082EDE6" w:rsidR="00C41BA6" w:rsidRPr="00546AF1" w:rsidRDefault="00C41BA6" w:rsidP="00F41A4B">
      <w:pPr>
        <w:pStyle w:val="Heading3"/>
      </w:pPr>
      <w:bookmarkStart w:id="73" w:name="_Toc83044381"/>
      <w:bookmarkStart w:id="74" w:name="_Toc83731447"/>
      <w:bookmarkStart w:id="75" w:name="_Toc83802775"/>
      <w:bookmarkStart w:id="76" w:name="_Toc83822860"/>
      <w:r w:rsidRPr="00546AF1">
        <w:t>Leading women’s event</w:t>
      </w:r>
      <w:bookmarkEnd w:id="73"/>
      <w:bookmarkEnd w:id="74"/>
      <w:bookmarkEnd w:id="75"/>
      <w:bookmarkEnd w:id="76"/>
    </w:p>
    <w:p w14:paraId="4E7A15BB" w14:textId="1F5DBCE8" w:rsidR="00585573" w:rsidRPr="00546AF1" w:rsidRDefault="00585573" w:rsidP="00EB6567">
      <w:pPr>
        <w:pStyle w:val="Style1"/>
      </w:pPr>
      <w:r w:rsidRPr="00546AF1">
        <w:t>The ‘Leading Women Network’</w:t>
      </w:r>
      <w:r w:rsidR="00D324E6" w:rsidRPr="00546AF1">
        <w:t xml:space="preserve"> is </w:t>
      </w:r>
      <w:r w:rsidRPr="00546AF1">
        <w:t xml:space="preserve">an initiative of Queensland’s Public Safety and Integrity </w:t>
      </w:r>
      <w:r w:rsidR="00275E37" w:rsidRPr="00546AF1">
        <w:t>Agencies and</w:t>
      </w:r>
      <w:r w:rsidR="00D324E6" w:rsidRPr="00546AF1">
        <w:t xml:space="preserve"> </w:t>
      </w:r>
      <w:r w:rsidRPr="00546AF1">
        <w:t xml:space="preserve">commenced in August 2019 with a mission to promote a diverse and inclusive work environment through the representation of women in all levels of workplaces by providing professional development and networking opportunities targeting women and a forum to raise common issues to the senior executive members of partner agencies. </w:t>
      </w:r>
    </w:p>
    <w:p w14:paraId="3CA087E4" w14:textId="77777777" w:rsidR="00585573" w:rsidRPr="00546AF1" w:rsidRDefault="00585573" w:rsidP="00EB6567">
      <w:pPr>
        <w:pStyle w:val="Style1"/>
      </w:pPr>
    </w:p>
    <w:p w14:paraId="758A1150" w14:textId="70779B6B" w:rsidR="00585573" w:rsidRPr="00546AF1" w:rsidRDefault="00585573" w:rsidP="00EB6567">
      <w:pPr>
        <w:pStyle w:val="Style1"/>
      </w:pPr>
      <w:r w:rsidRPr="00546AF1">
        <w:t>The Network encompasses the following Queensland Government agencies:</w:t>
      </w:r>
    </w:p>
    <w:p w14:paraId="4CC721F3" w14:textId="77777777" w:rsidR="00585573" w:rsidRPr="00546AF1" w:rsidRDefault="00585573" w:rsidP="00EB6567">
      <w:pPr>
        <w:pStyle w:val="Style1"/>
        <w:numPr>
          <w:ilvl w:val="0"/>
          <w:numId w:val="30"/>
        </w:numPr>
      </w:pPr>
      <w:r w:rsidRPr="00546AF1">
        <w:t xml:space="preserve">Queensland Police Service </w:t>
      </w:r>
    </w:p>
    <w:p w14:paraId="0E6E32BC" w14:textId="77777777" w:rsidR="00585573" w:rsidRPr="00546AF1" w:rsidRDefault="00585573" w:rsidP="00EB6567">
      <w:pPr>
        <w:pStyle w:val="Style1"/>
        <w:numPr>
          <w:ilvl w:val="0"/>
          <w:numId w:val="30"/>
        </w:numPr>
      </w:pPr>
      <w:r w:rsidRPr="00546AF1">
        <w:t xml:space="preserve">Queensland Fire and Emergency Services </w:t>
      </w:r>
    </w:p>
    <w:p w14:paraId="349D0667" w14:textId="77777777" w:rsidR="00585573" w:rsidRPr="00546AF1" w:rsidRDefault="00585573" w:rsidP="00EB6567">
      <w:pPr>
        <w:pStyle w:val="Style1"/>
        <w:numPr>
          <w:ilvl w:val="0"/>
          <w:numId w:val="30"/>
        </w:numPr>
      </w:pPr>
      <w:r w:rsidRPr="00546AF1">
        <w:t xml:space="preserve">Public Safety Business Agency </w:t>
      </w:r>
    </w:p>
    <w:p w14:paraId="070B686D" w14:textId="77777777" w:rsidR="00585573" w:rsidRPr="00546AF1" w:rsidRDefault="00585573" w:rsidP="00EB6567">
      <w:pPr>
        <w:pStyle w:val="Style1"/>
        <w:numPr>
          <w:ilvl w:val="0"/>
          <w:numId w:val="30"/>
        </w:numPr>
      </w:pPr>
      <w:r w:rsidRPr="00546AF1">
        <w:t xml:space="preserve">Queensland Corrective Services </w:t>
      </w:r>
    </w:p>
    <w:p w14:paraId="5BB1CA41" w14:textId="77777777" w:rsidR="00585573" w:rsidRPr="00546AF1" w:rsidRDefault="00585573" w:rsidP="00EB6567">
      <w:pPr>
        <w:pStyle w:val="Style1"/>
        <w:numPr>
          <w:ilvl w:val="0"/>
          <w:numId w:val="30"/>
        </w:numPr>
      </w:pPr>
      <w:r w:rsidRPr="00546AF1">
        <w:t>Crime and Corruption Commission</w:t>
      </w:r>
    </w:p>
    <w:p w14:paraId="4EA90358" w14:textId="2FF8594E" w:rsidR="00585573" w:rsidRPr="00546AF1" w:rsidRDefault="00585573" w:rsidP="00EB6567">
      <w:pPr>
        <w:pStyle w:val="Style1"/>
        <w:numPr>
          <w:ilvl w:val="0"/>
          <w:numId w:val="30"/>
        </w:numPr>
      </w:pPr>
      <w:r w:rsidRPr="00546AF1">
        <w:t>Office of the Inspector</w:t>
      </w:r>
      <w:r w:rsidR="00047606">
        <w:noBreakHyphen/>
      </w:r>
      <w:r w:rsidRPr="00546AF1">
        <w:t>General Emergency Management</w:t>
      </w:r>
    </w:p>
    <w:p w14:paraId="22C8BAD8" w14:textId="77777777" w:rsidR="00275E37" w:rsidRPr="00546AF1" w:rsidRDefault="00585573" w:rsidP="00EB6567">
      <w:pPr>
        <w:pStyle w:val="Style1"/>
        <w:numPr>
          <w:ilvl w:val="0"/>
          <w:numId w:val="30"/>
        </w:numPr>
      </w:pPr>
      <w:r w:rsidRPr="00546AF1">
        <w:t xml:space="preserve">Queensland Racing Integrity Commission, </w:t>
      </w:r>
    </w:p>
    <w:p w14:paraId="44F217BE" w14:textId="3B23EE00" w:rsidR="00585573" w:rsidRPr="00546AF1" w:rsidRDefault="00275E37" w:rsidP="00EB6567">
      <w:pPr>
        <w:pStyle w:val="Style1"/>
        <w:numPr>
          <w:ilvl w:val="0"/>
          <w:numId w:val="30"/>
        </w:numPr>
      </w:pPr>
      <w:r w:rsidRPr="00546AF1">
        <w:t xml:space="preserve">Queensland Family and Child Commission, </w:t>
      </w:r>
      <w:r w:rsidR="00585573" w:rsidRPr="00546AF1">
        <w:t>and</w:t>
      </w:r>
    </w:p>
    <w:p w14:paraId="1685A686" w14:textId="77777777" w:rsidR="00585573" w:rsidRPr="00546AF1" w:rsidRDefault="00585573" w:rsidP="00EB6567">
      <w:pPr>
        <w:pStyle w:val="Style1"/>
        <w:numPr>
          <w:ilvl w:val="0"/>
          <w:numId w:val="30"/>
        </w:numPr>
      </w:pPr>
      <w:r w:rsidRPr="00546AF1">
        <w:t xml:space="preserve">Queensland Integrity Commissioner. </w:t>
      </w:r>
    </w:p>
    <w:p w14:paraId="205215A2" w14:textId="77777777" w:rsidR="00585573" w:rsidRPr="00546AF1" w:rsidRDefault="00585573" w:rsidP="00EB6567">
      <w:pPr>
        <w:pStyle w:val="Style1"/>
      </w:pPr>
    </w:p>
    <w:p w14:paraId="0814AF1D" w14:textId="6F3BA812" w:rsidR="00585573" w:rsidRPr="00546AF1" w:rsidRDefault="00585573" w:rsidP="00EB6567">
      <w:pPr>
        <w:pStyle w:val="Style1"/>
      </w:pPr>
      <w:r w:rsidRPr="00546AF1">
        <w:t>The Network incorporates several ongoing activities including:</w:t>
      </w:r>
    </w:p>
    <w:p w14:paraId="1C8E950C" w14:textId="01E7DCCF" w:rsidR="00585573" w:rsidRPr="00546AF1" w:rsidRDefault="00585573" w:rsidP="00EB6567">
      <w:pPr>
        <w:pStyle w:val="Style1"/>
        <w:numPr>
          <w:ilvl w:val="0"/>
          <w:numId w:val="31"/>
        </w:numPr>
      </w:pPr>
      <w:r w:rsidRPr="00546AF1">
        <w:t>quarterly professional development and networking events, featuring a guest speaker/s addressing topics of interest and facilitated discussion regarding common issues; and</w:t>
      </w:r>
    </w:p>
    <w:p w14:paraId="24F8B8F7" w14:textId="541FB78C" w:rsidR="00585573" w:rsidRPr="00546AF1" w:rsidRDefault="00585573" w:rsidP="00EB6567">
      <w:pPr>
        <w:pStyle w:val="Style1"/>
        <w:numPr>
          <w:ilvl w:val="0"/>
          <w:numId w:val="31"/>
        </w:numPr>
      </w:pPr>
      <w:r w:rsidRPr="00546AF1">
        <w:t xml:space="preserve">an interagency mentoring program to connect mentors and mentees from within and between the partner agencies. </w:t>
      </w:r>
    </w:p>
    <w:p w14:paraId="5FD1553E" w14:textId="77777777" w:rsidR="008E02B6" w:rsidRPr="00546AF1" w:rsidRDefault="008E02B6" w:rsidP="00EB6567">
      <w:pPr>
        <w:pStyle w:val="Style1"/>
      </w:pPr>
    </w:p>
    <w:p w14:paraId="45B7135B" w14:textId="1EB245EF" w:rsidR="00F569B2" w:rsidRPr="00546AF1" w:rsidRDefault="00585573" w:rsidP="00EB6567">
      <w:pPr>
        <w:pStyle w:val="Style1"/>
      </w:pPr>
      <w:r w:rsidRPr="00546AF1">
        <w:t xml:space="preserve">This year, the </w:t>
      </w:r>
      <w:r w:rsidR="002A71D5" w:rsidRPr="00546AF1">
        <w:t xml:space="preserve">office of the </w:t>
      </w:r>
      <w:r w:rsidR="008C27A4" w:rsidRPr="00546AF1">
        <w:t>QIC</w:t>
      </w:r>
      <w:r w:rsidR="00674FDE" w:rsidRPr="00546AF1">
        <w:t xml:space="preserve"> </w:t>
      </w:r>
      <w:r w:rsidRPr="00546AF1">
        <w:t>co</w:t>
      </w:r>
      <w:r w:rsidR="00047606">
        <w:noBreakHyphen/>
      </w:r>
      <w:r w:rsidRPr="00546AF1">
        <w:t xml:space="preserve">hosted a professional development and networking event with representatives from the Crime and Corruption Commission, the </w:t>
      </w:r>
      <w:r w:rsidR="002A71D5" w:rsidRPr="00546AF1">
        <w:t>O</w:t>
      </w:r>
      <w:r w:rsidRPr="00546AF1">
        <w:t>ffice of the Inspector</w:t>
      </w:r>
      <w:r w:rsidR="00047606">
        <w:noBreakHyphen/>
      </w:r>
      <w:r w:rsidRPr="00546AF1">
        <w:t>General Emergency Management and Queensland Racing Integrity Commission on 12 May 2021 with the topic</w:t>
      </w:r>
      <w:r w:rsidR="00275E37" w:rsidRPr="00546AF1">
        <w:t xml:space="preserve">, </w:t>
      </w:r>
      <w:r w:rsidRPr="00546AF1">
        <w:t>‘Rise and Define – Retaining your individuality and defining your identity at work’</w:t>
      </w:r>
      <w:r w:rsidR="00275E37" w:rsidRPr="00546AF1">
        <w:t xml:space="preserve">. </w:t>
      </w:r>
    </w:p>
    <w:p w14:paraId="73E18CE6" w14:textId="77777777" w:rsidR="00F569B2" w:rsidRPr="00546AF1" w:rsidRDefault="00F569B2" w:rsidP="00EB6567">
      <w:pPr>
        <w:pStyle w:val="Style1"/>
      </w:pPr>
    </w:p>
    <w:p w14:paraId="4E0403B1" w14:textId="1B6E5C8F" w:rsidR="00585573" w:rsidRPr="00546AF1" w:rsidRDefault="00275E37" w:rsidP="00EB6567">
      <w:pPr>
        <w:pStyle w:val="Style1"/>
      </w:pPr>
      <w:r w:rsidRPr="00546AF1">
        <w:t xml:space="preserve">The </w:t>
      </w:r>
      <w:r w:rsidR="00585573" w:rsidRPr="00546AF1">
        <w:t>Hon.</w:t>
      </w:r>
      <w:r w:rsidR="002859F2" w:rsidRPr="00546AF1">
        <w:t> </w:t>
      </w:r>
      <w:r w:rsidR="00585573" w:rsidRPr="00546AF1">
        <w:t>Kate</w:t>
      </w:r>
      <w:r w:rsidR="002859F2" w:rsidRPr="00546AF1">
        <w:t> </w:t>
      </w:r>
      <w:r w:rsidR="00585573" w:rsidRPr="00546AF1">
        <w:t xml:space="preserve">Jones </w:t>
      </w:r>
      <w:r w:rsidRPr="00546AF1">
        <w:t xml:space="preserve">attended and gave the keynote address. </w:t>
      </w:r>
    </w:p>
    <w:p w14:paraId="35210F5C" w14:textId="08348607" w:rsidR="00C86E1C" w:rsidRPr="00546AF1" w:rsidRDefault="00C86E1C" w:rsidP="00BE4B1E">
      <w:pPr>
        <w:rPr>
          <w:rFonts w:ascii="Times New Roman" w:hAnsi="Times New Roman"/>
          <w:szCs w:val="20"/>
        </w:rPr>
      </w:pPr>
    </w:p>
    <w:p w14:paraId="37C1C8D1" w14:textId="2390EB97" w:rsidR="00C41BA6" w:rsidRPr="00546AF1" w:rsidRDefault="00C41BA6" w:rsidP="00F41A4B">
      <w:pPr>
        <w:pStyle w:val="Heading3"/>
      </w:pPr>
      <w:bookmarkStart w:id="77" w:name="_Toc83044382"/>
      <w:bookmarkStart w:id="78" w:name="_Toc83731448"/>
      <w:bookmarkStart w:id="79" w:name="_Toc83802776"/>
      <w:bookmarkStart w:id="80" w:name="_Toc83822861"/>
      <w:r w:rsidRPr="00546AF1">
        <w:t xml:space="preserve">Integrity in </w:t>
      </w:r>
      <w:r w:rsidR="004F47A6" w:rsidRPr="00546AF1">
        <w:t>H</w:t>
      </w:r>
      <w:r w:rsidRPr="00546AF1">
        <w:t xml:space="preserve">ealth </w:t>
      </w:r>
      <w:r w:rsidR="004F47A6" w:rsidRPr="00546AF1">
        <w:t>S</w:t>
      </w:r>
      <w:r w:rsidRPr="00546AF1">
        <w:t>eries</w:t>
      </w:r>
      <w:bookmarkEnd w:id="77"/>
      <w:bookmarkEnd w:id="78"/>
      <w:bookmarkEnd w:id="79"/>
      <w:bookmarkEnd w:id="80"/>
      <w:r w:rsidRPr="00546AF1">
        <w:t xml:space="preserve"> </w:t>
      </w:r>
    </w:p>
    <w:p w14:paraId="29A2FC15" w14:textId="0E040022" w:rsidR="00B32A7C" w:rsidRPr="00546AF1" w:rsidRDefault="000E7CF2" w:rsidP="00EB6567">
      <w:pPr>
        <w:pStyle w:val="Style1"/>
      </w:pPr>
      <w:r>
        <w:t xml:space="preserve">The QIC has extensive experience in the health sector </w:t>
      </w:r>
      <w:r w:rsidR="004E71FF" w:rsidRPr="00546AF1">
        <w:t xml:space="preserve">and </w:t>
      </w:r>
      <w:r>
        <w:t xml:space="preserve">given </w:t>
      </w:r>
      <w:r w:rsidR="004E71FF" w:rsidRPr="00546AF1">
        <w:t xml:space="preserve">the importance of health </w:t>
      </w:r>
      <w:r>
        <w:t xml:space="preserve">services </w:t>
      </w:r>
      <w:r w:rsidR="004E71FF" w:rsidRPr="00546AF1">
        <w:t xml:space="preserve">to all Queenslanders, </w:t>
      </w:r>
      <w:r w:rsidR="00B32A7C" w:rsidRPr="00546AF1">
        <w:t>e</w:t>
      </w:r>
      <w:r w:rsidR="00725427" w:rsidRPr="00546AF1">
        <w:t xml:space="preserve">ach year the </w:t>
      </w:r>
      <w:r w:rsidR="008C27A4" w:rsidRPr="00546AF1">
        <w:t>QIC</w:t>
      </w:r>
      <w:r w:rsidR="00674FDE" w:rsidRPr="00546AF1">
        <w:t xml:space="preserve"> </w:t>
      </w:r>
      <w:r w:rsidR="002F4B30" w:rsidRPr="00546AF1">
        <w:t xml:space="preserve">hosts </w:t>
      </w:r>
      <w:r w:rsidR="00963023" w:rsidRPr="00546AF1">
        <w:t>the</w:t>
      </w:r>
      <w:r w:rsidR="002F4B30" w:rsidRPr="00546AF1">
        <w:t xml:space="preserve"> </w:t>
      </w:r>
      <w:r w:rsidR="00963023" w:rsidRPr="00546AF1">
        <w:t>‘</w:t>
      </w:r>
      <w:r w:rsidR="002F4B30" w:rsidRPr="00546AF1">
        <w:t>Integrity in Health</w:t>
      </w:r>
      <w:r w:rsidR="00963023" w:rsidRPr="00546AF1">
        <w:t>’</w:t>
      </w:r>
      <w:r w:rsidR="002F4B30" w:rsidRPr="00546AF1">
        <w:t xml:space="preserve"> series</w:t>
      </w:r>
      <w:r w:rsidR="00B710E6" w:rsidRPr="00546AF1">
        <w:t>, hosted at various Queensland hospital and health service sites</w:t>
      </w:r>
      <w:r w:rsidR="002F4B30" w:rsidRPr="00546AF1">
        <w:t xml:space="preserve">. </w:t>
      </w:r>
    </w:p>
    <w:p w14:paraId="0AE06272" w14:textId="5D2D5A92" w:rsidR="002C0F80" w:rsidRPr="00546AF1" w:rsidRDefault="002C0F80" w:rsidP="00EB6567">
      <w:pPr>
        <w:pStyle w:val="Style1"/>
      </w:pPr>
    </w:p>
    <w:p w14:paraId="6C0D9C06" w14:textId="230BC8C1" w:rsidR="002C0F80" w:rsidRPr="00546AF1" w:rsidRDefault="002C0F80" w:rsidP="00EB6567">
      <w:pPr>
        <w:pStyle w:val="Style1"/>
      </w:pPr>
      <w:r w:rsidRPr="00546AF1">
        <w:t xml:space="preserve">At each event a panel session of expert representatives from the partner organisations explores professional practice standards, and the ethical and legal aspects of the </w:t>
      </w:r>
      <w:r w:rsidR="00A63940" w:rsidRPr="00546AF1">
        <w:t xml:space="preserve">year’s </w:t>
      </w:r>
      <w:r w:rsidR="002729FE" w:rsidRPr="00546AF1">
        <w:t xml:space="preserve">topic. </w:t>
      </w:r>
    </w:p>
    <w:p w14:paraId="58ACADB0" w14:textId="77777777" w:rsidR="00B32A7C" w:rsidRPr="00546AF1" w:rsidRDefault="00B32A7C" w:rsidP="00EB6567">
      <w:pPr>
        <w:pStyle w:val="Style1"/>
      </w:pPr>
    </w:p>
    <w:p w14:paraId="034458E3" w14:textId="64167BAA" w:rsidR="002F4B30" w:rsidRPr="00546AF1" w:rsidRDefault="002F4B30" w:rsidP="00EB6567">
      <w:pPr>
        <w:pStyle w:val="Style1"/>
      </w:pPr>
      <w:r w:rsidRPr="00546AF1">
        <w:t xml:space="preserve">This year’s topic </w:t>
      </w:r>
      <w:r w:rsidR="00F735E3" w:rsidRPr="00546AF1">
        <w:t>was</w:t>
      </w:r>
      <w:r w:rsidRPr="00546AF1">
        <w:t xml:space="preserve"> ‘Providing medical care without consent: exploring the ethical and legal issues’</w:t>
      </w:r>
      <w:r w:rsidR="00B32A7C" w:rsidRPr="00546AF1">
        <w:t xml:space="preserve"> </w:t>
      </w:r>
      <w:r w:rsidR="00F735E3" w:rsidRPr="00546AF1">
        <w:t xml:space="preserve">with a focus on the emergency principle as a protection against a claim of trespass when providing care in the emergency setting. The topic </w:t>
      </w:r>
      <w:r w:rsidR="00B32A7C" w:rsidRPr="00546AF1">
        <w:t xml:space="preserve">was based on a </w:t>
      </w:r>
      <w:r w:rsidRPr="00546AF1">
        <w:t>research paper co</w:t>
      </w:r>
      <w:r w:rsidR="00047606">
        <w:noBreakHyphen/>
      </w:r>
      <w:r w:rsidRPr="00546AF1">
        <w:t xml:space="preserve">authored </w:t>
      </w:r>
      <w:r w:rsidR="00B32A7C" w:rsidRPr="00546AF1">
        <w:t xml:space="preserve">by the </w:t>
      </w:r>
      <w:r w:rsidR="000E7CF2">
        <w:t>QIC</w:t>
      </w:r>
      <w:r w:rsidR="000E7CF2" w:rsidRPr="00546AF1">
        <w:t xml:space="preserve"> </w:t>
      </w:r>
      <w:r w:rsidR="00F735E3" w:rsidRPr="00546AF1">
        <w:t xml:space="preserve">and Dr Sam Boyle of the Queensland University of Technology </w:t>
      </w:r>
      <w:r w:rsidR="00B32A7C" w:rsidRPr="00546AF1">
        <w:t xml:space="preserve">and </w:t>
      </w:r>
      <w:r w:rsidRPr="00546AF1">
        <w:t xml:space="preserve">published in the ‘Emergency Medicine Australasia’ journal in April 2021. Attendance (including online) at the events can be used for CME/CPD points for health practitioners </w:t>
      </w:r>
      <w:r w:rsidR="00C7100F" w:rsidRPr="00546AF1">
        <w:t xml:space="preserve">across the Queensland public sector. </w:t>
      </w:r>
    </w:p>
    <w:p w14:paraId="7012BC73" w14:textId="77777777" w:rsidR="002F4B30" w:rsidRPr="00546AF1" w:rsidRDefault="002F4B30" w:rsidP="00EB6567">
      <w:pPr>
        <w:pStyle w:val="Style1"/>
      </w:pPr>
    </w:p>
    <w:p w14:paraId="21A06269" w14:textId="7B57F861" w:rsidR="00D07DDD" w:rsidRPr="00546AF1" w:rsidRDefault="00C7100F" w:rsidP="00EB6567">
      <w:pPr>
        <w:pStyle w:val="Style1"/>
      </w:pPr>
      <w:r w:rsidRPr="00546AF1">
        <w:t>Series c</w:t>
      </w:r>
      <w:r w:rsidR="00D07DDD" w:rsidRPr="00546AF1">
        <w:t xml:space="preserve">ollaborators this year </w:t>
      </w:r>
      <w:r w:rsidR="00E17B91">
        <w:t xml:space="preserve">include: </w:t>
      </w:r>
    </w:p>
    <w:p w14:paraId="20EC19F5" w14:textId="4F8DADBD" w:rsidR="00D07DDD" w:rsidRPr="00546AF1" w:rsidRDefault="00D07DDD" w:rsidP="00EB6567">
      <w:pPr>
        <w:pStyle w:val="Style1"/>
        <w:numPr>
          <w:ilvl w:val="0"/>
          <w:numId w:val="32"/>
        </w:numPr>
      </w:pPr>
      <w:r w:rsidRPr="00546AF1">
        <w:t xml:space="preserve">Royal Brisbane and </w:t>
      </w:r>
      <w:proofErr w:type="spellStart"/>
      <w:r w:rsidRPr="00546AF1">
        <w:t>Womens</w:t>
      </w:r>
      <w:proofErr w:type="spellEnd"/>
      <w:r w:rsidRPr="00546AF1">
        <w:t xml:space="preserve"> Hospital</w:t>
      </w:r>
      <w:r w:rsidR="00C7100F" w:rsidRPr="00546AF1">
        <w:t xml:space="preserve"> and Central West Hospital and Health Service </w:t>
      </w:r>
      <w:r w:rsidR="00D5575F" w:rsidRPr="00546AF1">
        <w:t xml:space="preserve">(Longreach) </w:t>
      </w:r>
      <w:r w:rsidRPr="00546AF1">
        <w:t xml:space="preserve">as </w:t>
      </w:r>
      <w:r w:rsidR="00C7100F" w:rsidRPr="00546AF1">
        <w:t>Hosts</w:t>
      </w:r>
      <w:r w:rsidRPr="00546AF1">
        <w:t xml:space="preserve"> </w:t>
      </w:r>
    </w:p>
    <w:p w14:paraId="1CAC8E3E" w14:textId="4FBC655B" w:rsidR="00D07DDD" w:rsidRPr="00546AF1" w:rsidRDefault="00D07DDD" w:rsidP="00EB6567">
      <w:pPr>
        <w:pStyle w:val="Style1"/>
        <w:numPr>
          <w:ilvl w:val="0"/>
          <w:numId w:val="32"/>
        </w:numPr>
      </w:pPr>
      <w:r w:rsidRPr="00546AF1">
        <w:t>Jamieson Trauma Institute at RBWH (</w:t>
      </w:r>
      <w:r w:rsidR="00C7100F" w:rsidRPr="00546AF1">
        <w:t xml:space="preserve">with </w:t>
      </w:r>
      <w:r w:rsidR="00BB3756" w:rsidRPr="00546AF1">
        <w:t xml:space="preserve">Assoc. Professor </w:t>
      </w:r>
      <w:r w:rsidRPr="00546AF1">
        <w:t xml:space="preserve">Anthony </w:t>
      </w:r>
      <w:proofErr w:type="spellStart"/>
      <w:r w:rsidRPr="00546AF1">
        <w:t>Lynham</w:t>
      </w:r>
      <w:proofErr w:type="spellEnd"/>
      <w:r w:rsidRPr="00546AF1">
        <w:t xml:space="preserve">), </w:t>
      </w:r>
    </w:p>
    <w:p w14:paraId="22D9A9E1" w14:textId="5A079163" w:rsidR="00D07DDD" w:rsidRPr="00546AF1" w:rsidRDefault="00D07DDD" w:rsidP="00EB6567">
      <w:pPr>
        <w:pStyle w:val="Style1"/>
        <w:numPr>
          <w:ilvl w:val="0"/>
          <w:numId w:val="32"/>
        </w:numPr>
      </w:pPr>
      <w:r w:rsidRPr="00546AF1">
        <w:t xml:space="preserve">Health Ethics and Law Qld </w:t>
      </w:r>
    </w:p>
    <w:p w14:paraId="1356EFE9" w14:textId="34CBB422" w:rsidR="00D07DDD" w:rsidRPr="00546AF1" w:rsidRDefault="00D07DDD" w:rsidP="00EB6567">
      <w:pPr>
        <w:pStyle w:val="Style1"/>
        <w:numPr>
          <w:ilvl w:val="0"/>
          <w:numId w:val="32"/>
        </w:numPr>
      </w:pPr>
      <w:r w:rsidRPr="00546AF1">
        <w:t>Avant</w:t>
      </w:r>
      <w:r w:rsidR="00810867" w:rsidRPr="00546AF1">
        <w:t xml:space="preserve"> Insurance</w:t>
      </w:r>
    </w:p>
    <w:p w14:paraId="66300DF9" w14:textId="77777777" w:rsidR="00810867" w:rsidRPr="00546AF1" w:rsidRDefault="00810867" w:rsidP="00EB6567">
      <w:pPr>
        <w:pStyle w:val="Style1"/>
        <w:numPr>
          <w:ilvl w:val="0"/>
          <w:numId w:val="32"/>
        </w:numPr>
      </w:pPr>
      <w:r w:rsidRPr="00546AF1">
        <w:t xml:space="preserve">the </w:t>
      </w:r>
      <w:r w:rsidR="00D07DDD" w:rsidRPr="00546AF1">
        <w:t xml:space="preserve">Queensland Health Ombudsman, </w:t>
      </w:r>
    </w:p>
    <w:p w14:paraId="093E88F3" w14:textId="7FFA3E16" w:rsidR="00D07DDD" w:rsidRPr="00546AF1" w:rsidRDefault="00810867" w:rsidP="00EB6567">
      <w:pPr>
        <w:pStyle w:val="Style1"/>
        <w:numPr>
          <w:ilvl w:val="0"/>
          <w:numId w:val="32"/>
        </w:numPr>
      </w:pPr>
      <w:r w:rsidRPr="00546AF1">
        <w:t>Queensland Health</w:t>
      </w:r>
      <w:r w:rsidR="008E215B" w:rsidRPr="00546AF1">
        <w:t xml:space="preserve"> and Clinical Excellence Queensland, </w:t>
      </w:r>
      <w:r w:rsidR="00D07DDD" w:rsidRPr="00546AF1">
        <w:t xml:space="preserve">and </w:t>
      </w:r>
    </w:p>
    <w:p w14:paraId="3F189ACF" w14:textId="38D70E22" w:rsidR="00D07DDD" w:rsidRPr="00546AF1" w:rsidRDefault="008E215B" w:rsidP="00EB6567">
      <w:pPr>
        <w:pStyle w:val="Style1"/>
        <w:numPr>
          <w:ilvl w:val="0"/>
          <w:numId w:val="32"/>
        </w:numPr>
      </w:pPr>
      <w:r w:rsidRPr="00546AF1">
        <w:t xml:space="preserve">The </w:t>
      </w:r>
      <w:r w:rsidR="00D07DDD" w:rsidRPr="00546AF1">
        <w:t xml:space="preserve">Australian Centre for Health Law Research at Queensland University of Technology (ACHLR). </w:t>
      </w:r>
    </w:p>
    <w:p w14:paraId="0401DA95" w14:textId="77777777" w:rsidR="004B16FA" w:rsidRDefault="004B16FA" w:rsidP="00EB6567">
      <w:pPr>
        <w:pStyle w:val="Style1"/>
      </w:pPr>
    </w:p>
    <w:p w14:paraId="78617E1A" w14:textId="77777777" w:rsidR="00A674D1" w:rsidRDefault="004B16FA" w:rsidP="00EB6567">
      <w:pPr>
        <w:pStyle w:val="Style1"/>
      </w:pPr>
      <w:r>
        <w:t xml:space="preserve">More </w:t>
      </w:r>
      <w:r w:rsidRPr="00546AF1">
        <w:t xml:space="preserve">sessions </w:t>
      </w:r>
      <w:r w:rsidR="00A674D1">
        <w:t xml:space="preserve">are </w:t>
      </w:r>
      <w:r w:rsidRPr="00546AF1">
        <w:t>to be scheduled at other Queensland hospital and health service sites</w:t>
      </w:r>
      <w:r>
        <w:t xml:space="preserve">. </w:t>
      </w:r>
    </w:p>
    <w:p w14:paraId="72F86FB3" w14:textId="77777777" w:rsidR="00A674D1" w:rsidRDefault="00A674D1" w:rsidP="00EB6567">
      <w:pPr>
        <w:pStyle w:val="Style1"/>
      </w:pPr>
    </w:p>
    <w:p w14:paraId="1EFBBBCF" w14:textId="79E372E5" w:rsidR="00725427" w:rsidRPr="00546AF1" w:rsidRDefault="002B4D8D" w:rsidP="00EB6567">
      <w:pPr>
        <w:pStyle w:val="Style1"/>
      </w:pPr>
      <w:r w:rsidRPr="00546AF1">
        <w:t xml:space="preserve">The </w:t>
      </w:r>
      <w:r w:rsidR="000E7CF2">
        <w:t xml:space="preserve">QIC </w:t>
      </w:r>
      <w:r w:rsidR="00960593">
        <w:t xml:space="preserve">acknowledges the important contributions of the </w:t>
      </w:r>
      <w:r w:rsidR="006767E3" w:rsidRPr="00546AF1">
        <w:t xml:space="preserve">hosts and </w:t>
      </w:r>
      <w:r w:rsidRPr="00546AF1">
        <w:t>event partners</w:t>
      </w:r>
      <w:r w:rsidR="00960593">
        <w:t xml:space="preserve">. </w:t>
      </w:r>
    </w:p>
    <w:p w14:paraId="42BD15E3" w14:textId="77777777" w:rsidR="00585573" w:rsidRPr="00546AF1" w:rsidRDefault="00585573" w:rsidP="00EB6567">
      <w:pPr>
        <w:pStyle w:val="Style1"/>
      </w:pPr>
    </w:p>
    <w:p w14:paraId="349A011F" w14:textId="77777777" w:rsidR="006767E3" w:rsidRPr="00546AF1" w:rsidRDefault="006767E3" w:rsidP="00F41A4B">
      <w:pPr>
        <w:pStyle w:val="Heading3"/>
      </w:pPr>
      <w:bookmarkStart w:id="81" w:name="_Toc83731449"/>
      <w:bookmarkStart w:id="82" w:name="_Toc83802777"/>
      <w:bookmarkStart w:id="83" w:name="_Toc83822862"/>
      <w:bookmarkStart w:id="84" w:name="_Toc83044383"/>
      <w:r w:rsidRPr="00546AF1">
        <w:t>Other activity</w:t>
      </w:r>
      <w:bookmarkEnd w:id="81"/>
      <w:bookmarkEnd w:id="82"/>
      <w:bookmarkEnd w:id="83"/>
    </w:p>
    <w:p w14:paraId="1ACD7C78" w14:textId="440D834D" w:rsidR="001C5BAD" w:rsidRDefault="001C5BAD" w:rsidP="00EB6567">
      <w:pPr>
        <w:pStyle w:val="Style1"/>
      </w:pPr>
      <w:r w:rsidRPr="00546AF1">
        <w:t>Throughout 2020</w:t>
      </w:r>
      <w:r w:rsidR="00047606">
        <w:noBreakHyphen/>
      </w:r>
      <w:r w:rsidRPr="00546AF1">
        <w:t xml:space="preserve">21, the </w:t>
      </w:r>
      <w:r w:rsidR="008C27A4" w:rsidRPr="00D90658">
        <w:t>QIC</w:t>
      </w:r>
      <w:r w:rsidR="00674FDE" w:rsidRPr="00D90658">
        <w:t xml:space="preserve"> </w:t>
      </w:r>
      <w:r w:rsidR="008A57E0">
        <w:t xml:space="preserve">was involved with </w:t>
      </w:r>
      <w:r w:rsidR="00690299">
        <w:t>1</w:t>
      </w:r>
      <w:r w:rsidRPr="00D90658">
        <w:t>46 interactions</w:t>
      </w:r>
      <w:r w:rsidR="00690299">
        <w:t xml:space="preserve"> including </w:t>
      </w:r>
      <w:r w:rsidRPr="00D90658">
        <w:t xml:space="preserve">20 information sessions </w:t>
      </w:r>
      <w:r w:rsidR="007A530A">
        <w:t xml:space="preserve">delivered </w:t>
      </w:r>
      <w:r w:rsidRPr="00D90658">
        <w:t>to bodies such as statutory boards</w:t>
      </w:r>
      <w:r w:rsidR="00FB14BB" w:rsidRPr="00D90658">
        <w:t xml:space="preserve"> </w:t>
      </w:r>
      <w:r w:rsidRPr="00D90658">
        <w:t>and other public sector entities;</w:t>
      </w:r>
      <w:r w:rsidR="00FB14BB" w:rsidRPr="00D90658">
        <w:t xml:space="preserve"> provid</w:t>
      </w:r>
      <w:r w:rsidR="00690299">
        <w:t>ing</w:t>
      </w:r>
      <w:r w:rsidRPr="00D90658">
        <w:t xml:space="preserve"> 13 education events (seminars, conferences etc.), and participat</w:t>
      </w:r>
      <w:r w:rsidR="00690299">
        <w:t>ing</w:t>
      </w:r>
      <w:r w:rsidRPr="00D90658">
        <w:t xml:space="preserve"> in 113 </w:t>
      </w:r>
      <w:r w:rsidR="000E7CF2" w:rsidRPr="00D90658">
        <w:t xml:space="preserve">committee meetings facilitated by </w:t>
      </w:r>
      <w:r w:rsidRPr="00D90658">
        <w:t xml:space="preserve">the </w:t>
      </w:r>
      <w:r w:rsidR="008C27A4" w:rsidRPr="00D90658">
        <w:t>QIC</w:t>
      </w:r>
      <w:r w:rsidR="00674FDE" w:rsidRPr="00D90658">
        <w:t xml:space="preserve"> </w:t>
      </w:r>
      <w:r w:rsidRPr="00D90658">
        <w:t>committee meetings,</w:t>
      </w:r>
      <w:r w:rsidR="000E7CF2" w:rsidRPr="00D90658">
        <w:t xml:space="preserve"> as well as</w:t>
      </w:r>
      <w:r w:rsidRPr="00D90658">
        <w:t xml:space="preserve"> other meetings and events</w:t>
      </w:r>
      <w:r w:rsidR="000E7CF2" w:rsidRPr="00D90658">
        <w:t xml:space="preserve"> attended by the QIC</w:t>
      </w:r>
      <w:r w:rsidRPr="00D90658">
        <w:t>.</w:t>
      </w:r>
    </w:p>
    <w:p w14:paraId="46ED3F40" w14:textId="77777777" w:rsidR="00710D72" w:rsidRPr="00546AF1" w:rsidRDefault="00710D72" w:rsidP="00EB6567">
      <w:pPr>
        <w:pStyle w:val="Style1"/>
      </w:pPr>
    </w:p>
    <w:p w14:paraId="6AFD721D" w14:textId="0D609D99" w:rsidR="00C41BA6" w:rsidRPr="00546AF1" w:rsidRDefault="00C41BA6" w:rsidP="00F41A4B">
      <w:pPr>
        <w:pStyle w:val="Heading3"/>
      </w:pPr>
      <w:bookmarkStart w:id="85" w:name="_Toc83731450"/>
      <w:bookmarkStart w:id="86" w:name="_Toc83802778"/>
      <w:bookmarkStart w:id="87" w:name="_Toc83822863"/>
      <w:r w:rsidRPr="00546AF1">
        <w:t>Queensland Integrity Committee</w:t>
      </w:r>
      <w:bookmarkEnd w:id="84"/>
      <w:bookmarkEnd w:id="85"/>
      <w:bookmarkEnd w:id="86"/>
      <w:bookmarkEnd w:id="87"/>
      <w:r w:rsidRPr="00546AF1">
        <w:t xml:space="preserve"> </w:t>
      </w:r>
    </w:p>
    <w:p w14:paraId="263A6238" w14:textId="1F4431D0" w:rsidR="00C41BA6" w:rsidRPr="00546AF1" w:rsidRDefault="00C41BA6" w:rsidP="00EB6567">
      <w:pPr>
        <w:pStyle w:val="Style1"/>
      </w:pPr>
      <w:r w:rsidRPr="00546AF1">
        <w:t xml:space="preserve">In August 2001, the inaugural </w:t>
      </w:r>
      <w:r w:rsidR="00674FDE" w:rsidRPr="00546AF1">
        <w:t xml:space="preserve">QIC, </w:t>
      </w:r>
      <w:r w:rsidRPr="00546AF1">
        <w:t xml:space="preserve">the Honourable Alan </w:t>
      </w:r>
      <w:proofErr w:type="spellStart"/>
      <w:r w:rsidRPr="00546AF1">
        <w:t>Demack</w:t>
      </w:r>
      <w:proofErr w:type="spellEnd"/>
      <w:r w:rsidRPr="00546AF1">
        <w:t xml:space="preserve"> AO (2000</w:t>
      </w:r>
      <w:r w:rsidR="00047606">
        <w:noBreakHyphen/>
      </w:r>
      <w:r w:rsidRPr="00546AF1">
        <w:t xml:space="preserve">2004) convened the first meeting of the Integrity Committee. Since </w:t>
      </w:r>
      <w:r w:rsidR="00F94FBB" w:rsidRPr="00546AF1">
        <w:t>then,</w:t>
      </w:r>
      <w:r w:rsidRPr="00546AF1">
        <w:t xml:space="preserve"> the Integrity Committee has met quarterly to discuss shared issues. </w:t>
      </w:r>
    </w:p>
    <w:p w14:paraId="28D6B917" w14:textId="77777777" w:rsidR="00C41BA6" w:rsidRPr="00546AF1" w:rsidRDefault="00C41BA6" w:rsidP="00EB6567">
      <w:pPr>
        <w:pStyle w:val="Style1"/>
      </w:pPr>
    </w:p>
    <w:p w14:paraId="50876A6A" w14:textId="75348415" w:rsidR="00C41BA6" w:rsidRPr="00546AF1" w:rsidRDefault="00890DF7" w:rsidP="00EB6567">
      <w:pPr>
        <w:pStyle w:val="Style1"/>
      </w:pPr>
      <w:r w:rsidRPr="00546AF1">
        <w:t>M</w:t>
      </w:r>
      <w:r w:rsidR="00C41BA6" w:rsidRPr="00546AF1">
        <w:t>embers of the Integrity Committee include:</w:t>
      </w:r>
    </w:p>
    <w:p w14:paraId="2541F483" w14:textId="7173F7C9" w:rsidR="00686D1F" w:rsidRPr="00546AF1" w:rsidRDefault="00686D1F" w:rsidP="00EB6567">
      <w:pPr>
        <w:pStyle w:val="Style1"/>
        <w:numPr>
          <w:ilvl w:val="0"/>
          <w:numId w:val="33"/>
        </w:numPr>
      </w:pPr>
      <w:r w:rsidRPr="00546AF1">
        <w:t>Queensland Integrity Commissioner</w:t>
      </w:r>
    </w:p>
    <w:p w14:paraId="760A5426" w14:textId="08F5C698" w:rsidR="00C41BA6" w:rsidRPr="00546AF1" w:rsidRDefault="00686D1F" w:rsidP="00EB6567">
      <w:pPr>
        <w:pStyle w:val="Style1"/>
        <w:numPr>
          <w:ilvl w:val="0"/>
          <w:numId w:val="33"/>
        </w:numPr>
      </w:pPr>
      <w:r w:rsidRPr="00546AF1">
        <w:lastRenderedPageBreak/>
        <w:t xml:space="preserve">Chair of the </w:t>
      </w:r>
      <w:r w:rsidR="00C41BA6" w:rsidRPr="00546AF1">
        <w:t>Crime and Corruption Commission</w:t>
      </w:r>
    </w:p>
    <w:p w14:paraId="054B2860" w14:textId="721A5E6E" w:rsidR="00C41BA6" w:rsidRPr="00546AF1" w:rsidRDefault="00C41BA6" w:rsidP="00EB6567">
      <w:pPr>
        <w:pStyle w:val="Style1"/>
        <w:numPr>
          <w:ilvl w:val="0"/>
          <w:numId w:val="33"/>
        </w:numPr>
      </w:pPr>
      <w:r w:rsidRPr="00546AF1">
        <w:t>Queensland Auditor</w:t>
      </w:r>
      <w:r w:rsidR="00047606">
        <w:noBreakHyphen/>
      </w:r>
      <w:r w:rsidRPr="00546AF1">
        <w:t>General</w:t>
      </w:r>
    </w:p>
    <w:p w14:paraId="2F589403" w14:textId="77777777" w:rsidR="00C41BA6" w:rsidRPr="00546AF1" w:rsidRDefault="00C41BA6" w:rsidP="00EB6567">
      <w:pPr>
        <w:pStyle w:val="Style1"/>
        <w:numPr>
          <w:ilvl w:val="0"/>
          <w:numId w:val="33"/>
        </w:numPr>
      </w:pPr>
      <w:r w:rsidRPr="00546AF1">
        <w:t>Queensland Ombudsman</w:t>
      </w:r>
    </w:p>
    <w:p w14:paraId="74330636" w14:textId="77777777" w:rsidR="00C41BA6" w:rsidRPr="00546AF1" w:rsidRDefault="00C41BA6" w:rsidP="00EB6567">
      <w:pPr>
        <w:pStyle w:val="Style1"/>
        <w:numPr>
          <w:ilvl w:val="0"/>
          <w:numId w:val="33"/>
        </w:numPr>
      </w:pPr>
      <w:r w:rsidRPr="00546AF1">
        <w:t>Queensland Information Commissioner</w:t>
      </w:r>
    </w:p>
    <w:p w14:paraId="64823EA0" w14:textId="77777777" w:rsidR="00C41BA6" w:rsidRPr="00546AF1" w:rsidRDefault="00C41BA6" w:rsidP="00EB6567">
      <w:pPr>
        <w:pStyle w:val="Style1"/>
        <w:numPr>
          <w:ilvl w:val="0"/>
          <w:numId w:val="33"/>
        </w:numPr>
      </w:pPr>
      <w:r w:rsidRPr="00546AF1">
        <w:t>Commission Chief Executive of the Public Service Commission</w:t>
      </w:r>
    </w:p>
    <w:p w14:paraId="73A96773" w14:textId="77777777" w:rsidR="00C41BA6" w:rsidRPr="00546AF1" w:rsidRDefault="00C41BA6" w:rsidP="00EB6567">
      <w:pPr>
        <w:pStyle w:val="Style1"/>
        <w:numPr>
          <w:ilvl w:val="0"/>
          <w:numId w:val="33"/>
        </w:numPr>
      </w:pPr>
      <w:r w:rsidRPr="00546AF1">
        <w:t>Queensland Racing Integrity Commissioner</w:t>
      </w:r>
    </w:p>
    <w:p w14:paraId="44F29320" w14:textId="5E48C1A9" w:rsidR="00C41BA6" w:rsidRPr="00546AF1" w:rsidRDefault="00C41BA6" w:rsidP="00EB6567">
      <w:pPr>
        <w:pStyle w:val="Style1"/>
        <w:numPr>
          <w:ilvl w:val="0"/>
          <w:numId w:val="33"/>
        </w:numPr>
      </w:pPr>
      <w:r w:rsidRPr="00546AF1">
        <w:t>Queensland Independent Assessor</w:t>
      </w:r>
      <w:r w:rsidR="009148FA" w:rsidRPr="00546AF1">
        <w:t xml:space="preserve">, and </w:t>
      </w:r>
    </w:p>
    <w:p w14:paraId="2902FF47" w14:textId="77777777" w:rsidR="00C41BA6" w:rsidRPr="00546AF1" w:rsidRDefault="00C41BA6" w:rsidP="00EB6567">
      <w:pPr>
        <w:pStyle w:val="Style1"/>
        <w:numPr>
          <w:ilvl w:val="0"/>
          <w:numId w:val="33"/>
        </w:numPr>
      </w:pPr>
      <w:r w:rsidRPr="00546AF1">
        <w:t xml:space="preserve">Queensland Electoral Commissioner. </w:t>
      </w:r>
    </w:p>
    <w:p w14:paraId="6685B6D9" w14:textId="77777777" w:rsidR="008E02B6" w:rsidRPr="00546AF1" w:rsidRDefault="008E02B6" w:rsidP="00EB6567">
      <w:pPr>
        <w:pStyle w:val="Style1"/>
      </w:pPr>
    </w:p>
    <w:p w14:paraId="730819A9" w14:textId="13343C11" w:rsidR="00C41BA6" w:rsidRPr="00546AF1" w:rsidRDefault="00C41BA6" w:rsidP="00EB6567">
      <w:pPr>
        <w:pStyle w:val="Style1"/>
      </w:pPr>
      <w:r w:rsidRPr="00546AF1">
        <w:t>For 2020</w:t>
      </w:r>
      <w:r w:rsidR="00047606">
        <w:noBreakHyphen/>
      </w:r>
      <w:r w:rsidRPr="00546AF1">
        <w:t>21, the Integrity Committee met on</w:t>
      </w:r>
      <w:r w:rsidR="00333E7A" w:rsidRPr="00546AF1">
        <w:t xml:space="preserve"> the following dates</w:t>
      </w:r>
      <w:r w:rsidRPr="00546AF1">
        <w:t>:</w:t>
      </w:r>
    </w:p>
    <w:p w14:paraId="18CD648E" w14:textId="77777777" w:rsidR="00C41BA6" w:rsidRPr="00546AF1" w:rsidRDefault="00C41BA6" w:rsidP="00EB6567">
      <w:pPr>
        <w:pStyle w:val="Style1"/>
        <w:numPr>
          <w:ilvl w:val="0"/>
          <w:numId w:val="34"/>
        </w:numPr>
      </w:pPr>
      <w:r w:rsidRPr="00546AF1">
        <w:t>21 September 2020</w:t>
      </w:r>
    </w:p>
    <w:p w14:paraId="1A974E51" w14:textId="77777777" w:rsidR="00C41BA6" w:rsidRPr="00546AF1" w:rsidRDefault="00C41BA6" w:rsidP="00EB6567">
      <w:pPr>
        <w:pStyle w:val="Style1"/>
        <w:numPr>
          <w:ilvl w:val="0"/>
          <w:numId w:val="34"/>
        </w:numPr>
      </w:pPr>
      <w:r w:rsidRPr="00546AF1">
        <w:t>16 December 2020</w:t>
      </w:r>
    </w:p>
    <w:p w14:paraId="39A42BC7" w14:textId="7760D596" w:rsidR="00C41BA6" w:rsidRPr="00546AF1" w:rsidRDefault="00C41BA6" w:rsidP="00EB6567">
      <w:pPr>
        <w:pStyle w:val="Style1"/>
        <w:numPr>
          <w:ilvl w:val="0"/>
          <w:numId w:val="34"/>
        </w:numPr>
      </w:pPr>
      <w:r w:rsidRPr="00546AF1">
        <w:t>24 March 2021</w:t>
      </w:r>
      <w:r w:rsidR="00333E7A" w:rsidRPr="00546AF1">
        <w:t xml:space="preserve">, and </w:t>
      </w:r>
    </w:p>
    <w:p w14:paraId="6A304D87" w14:textId="26D7B0CD" w:rsidR="00C41BA6" w:rsidRPr="00546AF1" w:rsidRDefault="00C41BA6" w:rsidP="00EB6567">
      <w:pPr>
        <w:pStyle w:val="Style1"/>
        <w:numPr>
          <w:ilvl w:val="0"/>
          <w:numId w:val="34"/>
        </w:numPr>
      </w:pPr>
      <w:r w:rsidRPr="00546AF1">
        <w:t xml:space="preserve">23 June 2021. </w:t>
      </w:r>
    </w:p>
    <w:p w14:paraId="62792950" w14:textId="77777777" w:rsidR="008E02B6" w:rsidRPr="00546AF1" w:rsidRDefault="008E02B6" w:rsidP="00EB6567">
      <w:pPr>
        <w:pStyle w:val="Style1"/>
      </w:pPr>
    </w:p>
    <w:p w14:paraId="3A373BE9" w14:textId="1D3BC19E" w:rsidR="00C41BA6" w:rsidRPr="00546AF1" w:rsidRDefault="00C41BA6" w:rsidP="00EB6567">
      <w:pPr>
        <w:pStyle w:val="Style1"/>
      </w:pPr>
      <w:r w:rsidRPr="00546AF1">
        <w:t xml:space="preserve">A new Terms of Reference for the Committee was </w:t>
      </w:r>
      <w:r w:rsidR="008E02B6" w:rsidRPr="00546AF1">
        <w:t xml:space="preserve">developed </w:t>
      </w:r>
      <w:r w:rsidRPr="00546AF1">
        <w:t>during the 2020</w:t>
      </w:r>
      <w:r w:rsidR="00047606">
        <w:noBreakHyphen/>
      </w:r>
      <w:r w:rsidRPr="00546AF1">
        <w:t>21 year</w:t>
      </w:r>
      <w:r w:rsidR="00890DF7" w:rsidRPr="00546AF1">
        <w:t xml:space="preserve">. The </w:t>
      </w:r>
      <w:r w:rsidRPr="00546AF1">
        <w:t>Integrity Committee</w:t>
      </w:r>
      <w:r w:rsidR="00890DF7" w:rsidRPr="00546AF1">
        <w:t>’s</w:t>
      </w:r>
      <w:r w:rsidRPr="00546AF1">
        <w:t xml:space="preserve"> meeting</w:t>
      </w:r>
      <w:r w:rsidR="00F94FBB" w:rsidRPr="00546AF1">
        <w:t xml:space="preserve"> notes and updates</w:t>
      </w:r>
      <w:r w:rsidRPr="00546AF1">
        <w:t xml:space="preserve"> are available on the office of the </w:t>
      </w:r>
      <w:r w:rsidR="00D82004">
        <w:t>QIC</w:t>
      </w:r>
      <w:r w:rsidRPr="00546AF1">
        <w:t xml:space="preserve">’s website at: </w:t>
      </w:r>
      <w:hyperlink r:id="rId49" w:history="1">
        <w:r w:rsidR="00BE4B1E" w:rsidRPr="00546AF1">
          <w:rPr>
            <w:rStyle w:val="Hyperlink"/>
          </w:rPr>
          <w:t>https://www.integrity.qld.gov.au/publications/integrity-committee-meeting-notes.aspx</w:t>
        </w:r>
      </w:hyperlink>
      <w:r w:rsidR="00BE4B1E" w:rsidRPr="00546AF1">
        <w:t xml:space="preserve"> </w:t>
      </w:r>
    </w:p>
    <w:p w14:paraId="51A208B0" w14:textId="77777777" w:rsidR="00BE4B1E" w:rsidRPr="00546AF1" w:rsidRDefault="00BE4B1E" w:rsidP="00BE4B1E">
      <w:pPr>
        <w:rPr>
          <w:rFonts w:ascii="Times New Roman" w:hAnsi="Times New Roman"/>
          <w:szCs w:val="20"/>
        </w:rPr>
      </w:pPr>
    </w:p>
    <w:p w14:paraId="1D7EF221" w14:textId="77777777" w:rsidR="00BE4B1E" w:rsidRPr="00546AF1" w:rsidRDefault="00BE4B1E" w:rsidP="00BE4B1E">
      <w:pPr>
        <w:rPr>
          <w:rFonts w:ascii="Times New Roman" w:hAnsi="Times New Roman"/>
          <w:szCs w:val="20"/>
        </w:rPr>
      </w:pPr>
    </w:p>
    <w:p w14:paraId="29F9030C" w14:textId="77777777" w:rsidR="00BE4B1E" w:rsidRPr="00546AF1" w:rsidRDefault="00BE4B1E" w:rsidP="007C149C">
      <w:pPr>
        <w:pStyle w:val="Heading2"/>
      </w:pPr>
      <w:r w:rsidRPr="00546AF1">
        <w:br w:type="page"/>
      </w:r>
    </w:p>
    <w:p w14:paraId="126149C1" w14:textId="48AAFA25" w:rsidR="00C41BA6" w:rsidRPr="00546AF1" w:rsidRDefault="00296D9D" w:rsidP="007C149C">
      <w:pPr>
        <w:pStyle w:val="Heading2"/>
      </w:pPr>
      <w:bookmarkStart w:id="88" w:name="_Toc83731451"/>
      <w:bookmarkStart w:id="89" w:name="_Toc83822864"/>
      <w:bookmarkStart w:id="90" w:name="_Toc83044384"/>
      <w:r>
        <w:lastRenderedPageBreak/>
        <w:t xml:space="preserve">10. </w:t>
      </w:r>
      <w:r w:rsidR="001A07EA" w:rsidRPr="00546AF1">
        <w:t>Compliance Obligations</w:t>
      </w:r>
      <w:bookmarkEnd w:id="88"/>
      <w:bookmarkEnd w:id="89"/>
      <w:r w:rsidR="001A07EA" w:rsidRPr="00546AF1">
        <w:t xml:space="preserve"> </w:t>
      </w:r>
      <w:bookmarkEnd w:id="90"/>
    </w:p>
    <w:p w14:paraId="243D9846" w14:textId="12FC9713" w:rsidR="00BE4B1E" w:rsidRDefault="00BE4B1E" w:rsidP="00BE4B1E">
      <w:pPr>
        <w:rPr>
          <w:rFonts w:ascii="Times New Roman" w:hAnsi="Times New Roman"/>
          <w:szCs w:val="20"/>
        </w:rPr>
      </w:pPr>
    </w:p>
    <w:p w14:paraId="7F3C6E7E" w14:textId="2E73B30A" w:rsidR="00296D9D" w:rsidRDefault="00296D9D" w:rsidP="00BE4B1E">
      <w:pPr>
        <w:rPr>
          <w:rFonts w:ascii="Times New Roman" w:hAnsi="Times New Roman"/>
          <w:szCs w:val="20"/>
        </w:rPr>
      </w:pPr>
      <w:r>
        <w:rPr>
          <w:rFonts w:ascii="Times New Roman" w:hAnsi="Times New Roman"/>
          <w:szCs w:val="20"/>
        </w:rPr>
        <w:t xml:space="preserve">This section details the QIC’s compliance obligations </w:t>
      </w:r>
      <w:r w:rsidR="008C053E">
        <w:rPr>
          <w:rFonts w:ascii="Times New Roman" w:hAnsi="Times New Roman"/>
          <w:szCs w:val="20"/>
        </w:rPr>
        <w:t xml:space="preserve">including obligations under the Ministerial Code of Conduct and the Act. </w:t>
      </w:r>
    </w:p>
    <w:p w14:paraId="596EBC8A" w14:textId="77777777" w:rsidR="00216119" w:rsidRPr="00546AF1" w:rsidRDefault="00216119" w:rsidP="00BE4B1E">
      <w:pPr>
        <w:rPr>
          <w:rFonts w:ascii="Times New Roman" w:hAnsi="Times New Roman"/>
          <w:szCs w:val="20"/>
        </w:rPr>
      </w:pPr>
    </w:p>
    <w:p w14:paraId="39573F44" w14:textId="2362E6D1" w:rsidR="00C41BA6" w:rsidRPr="00546AF1" w:rsidRDefault="00C41BA6" w:rsidP="00F41A4B">
      <w:pPr>
        <w:pStyle w:val="Heading3"/>
      </w:pPr>
      <w:bookmarkStart w:id="91" w:name="_Toc83044385"/>
      <w:bookmarkStart w:id="92" w:name="_Toc83731452"/>
      <w:bookmarkStart w:id="93" w:name="_Toc83802780"/>
      <w:bookmarkStart w:id="94" w:name="_Toc83822865"/>
      <w:r w:rsidRPr="00546AF1">
        <w:t>Declarations of Interest</w:t>
      </w:r>
      <w:bookmarkEnd w:id="91"/>
      <w:bookmarkEnd w:id="92"/>
      <w:bookmarkEnd w:id="93"/>
      <w:bookmarkEnd w:id="94"/>
    </w:p>
    <w:p w14:paraId="050719AA" w14:textId="01FB155F" w:rsidR="004876C9" w:rsidRPr="00216119" w:rsidRDefault="00C41BA6" w:rsidP="00EB6567">
      <w:pPr>
        <w:pStyle w:val="Style1"/>
      </w:pPr>
      <w:r w:rsidRPr="00216119">
        <w:t xml:space="preserve">Section </w:t>
      </w:r>
      <w:r w:rsidR="00325509" w:rsidRPr="00216119">
        <w:t>40E</w:t>
      </w:r>
      <w:r w:rsidRPr="00216119">
        <w:t xml:space="preserve"> </w:t>
      </w:r>
      <w:r w:rsidR="00AE728F" w:rsidRPr="00216119">
        <w:t xml:space="preserve">(previously section 72C) </w:t>
      </w:r>
      <w:r w:rsidRPr="00216119">
        <w:t>of the</w:t>
      </w:r>
      <w:r w:rsidR="00AE728F" w:rsidRPr="00216119">
        <w:t xml:space="preserve"> Act </w:t>
      </w:r>
      <w:r w:rsidRPr="00216119">
        <w:t xml:space="preserve">provides that various statutory office holders must </w:t>
      </w:r>
      <w:r w:rsidR="004876C9" w:rsidRPr="00216119">
        <w:t xml:space="preserve">provide a copy of their Declaration of Interests to the </w:t>
      </w:r>
      <w:r w:rsidR="00341677" w:rsidRPr="00216119">
        <w:t>QIC.</w:t>
      </w:r>
    </w:p>
    <w:p w14:paraId="73ACAB62" w14:textId="7C7046E0" w:rsidR="00BE4B1E" w:rsidRPr="00216119" w:rsidRDefault="00BE4B1E" w:rsidP="00EB6567">
      <w:pPr>
        <w:pStyle w:val="Style1"/>
      </w:pPr>
    </w:p>
    <w:p w14:paraId="0D335D4E" w14:textId="4FFB006B" w:rsidR="004876C9" w:rsidRPr="00546AF1" w:rsidRDefault="0026669F" w:rsidP="00EB6567">
      <w:pPr>
        <w:pStyle w:val="Style1"/>
      </w:pPr>
      <w:r w:rsidRPr="00216119">
        <w:t>Further, s</w:t>
      </w:r>
      <w:r w:rsidR="00C41BA6" w:rsidRPr="00216119">
        <w:t xml:space="preserve">ection 85(2) of the </w:t>
      </w:r>
      <w:r w:rsidRPr="00216119">
        <w:t xml:space="preserve">Act </w:t>
      </w:r>
      <w:r w:rsidR="00C41BA6" w:rsidRPr="00216119">
        <w:t xml:space="preserve">requires the </w:t>
      </w:r>
      <w:r w:rsidR="008C27A4" w:rsidRPr="00216119">
        <w:t>QIC</w:t>
      </w:r>
      <w:r w:rsidR="00341677" w:rsidRPr="00216119">
        <w:t xml:space="preserve"> </w:t>
      </w:r>
      <w:r w:rsidR="00C41BA6" w:rsidRPr="00216119">
        <w:t xml:space="preserve">to provide details of compliance by statutory office holders </w:t>
      </w:r>
      <w:r w:rsidR="00FC5FE1" w:rsidRPr="00216119">
        <w:t>named in Schedule 1</w:t>
      </w:r>
      <w:r w:rsidR="00FC5FE1" w:rsidRPr="00546AF1">
        <w:t xml:space="preserve"> of the</w:t>
      </w:r>
      <w:r w:rsidR="0003331B" w:rsidRPr="00546AF1">
        <w:t xml:space="preserve"> Act.</w:t>
      </w:r>
    </w:p>
    <w:p w14:paraId="3E4992A4" w14:textId="77777777" w:rsidR="004876C9" w:rsidRPr="00546AF1" w:rsidRDefault="004876C9" w:rsidP="00EB6567">
      <w:pPr>
        <w:pStyle w:val="Style1"/>
      </w:pPr>
    </w:p>
    <w:p w14:paraId="6DBCE12E" w14:textId="374793B9" w:rsidR="00BE4B1E" w:rsidRDefault="00C41BA6" w:rsidP="00EB6567">
      <w:pPr>
        <w:pStyle w:val="Style1"/>
      </w:pPr>
      <w:r w:rsidRPr="00546AF1">
        <w:t xml:space="preserve">As </w:t>
      </w:r>
      <w:r w:rsidR="00CA3695" w:rsidRPr="00546AF1">
        <w:t>of</w:t>
      </w:r>
      <w:r w:rsidRPr="00546AF1">
        <w:t xml:space="preserve"> 30 June 2021, all statutory office holders </w:t>
      </w:r>
      <w:r w:rsidR="0003331B" w:rsidRPr="00546AF1">
        <w:t>named in Schedule 1 of the Act ha</w:t>
      </w:r>
      <w:r w:rsidR="008E1ADD" w:rsidRPr="00546AF1">
        <w:t xml:space="preserve">d </w:t>
      </w:r>
      <w:r w:rsidR="0003331B" w:rsidRPr="00546AF1">
        <w:t>complied</w:t>
      </w:r>
      <w:r w:rsidR="004876C9" w:rsidRPr="00546AF1">
        <w:t xml:space="preserve"> with their obligation to provide a copy of their Declaration of Interests to the </w:t>
      </w:r>
      <w:r w:rsidR="008E7BD7">
        <w:t>QIC.</w:t>
      </w:r>
    </w:p>
    <w:p w14:paraId="02169465" w14:textId="77777777" w:rsidR="00710D72" w:rsidRPr="00546AF1" w:rsidRDefault="00710D72" w:rsidP="00EB6567">
      <w:pPr>
        <w:pStyle w:val="Style1"/>
      </w:pPr>
    </w:p>
    <w:p w14:paraId="472C67F5" w14:textId="77777777" w:rsidR="00C41BA6" w:rsidRPr="00546AF1" w:rsidRDefault="00C41BA6" w:rsidP="00F41A4B">
      <w:pPr>
        <w:pStyle w:val="Heading3"/>
      </w:pPr>
      <w:bookmarkStart w:id="95" w:name="_Toc83044386"/>
      <w:bookmarkStart w:id="96" w:name="_Toc83731453"/>
      <w:bookmarkStart w:id="97" w:name="_Toc83802781"/>
      <w:bookmarkStart w:id="98" w:name="_Toc83822866"/>
      <w:r w:rsidRPr="00546AF1">
        <w:t>Ministerial Code of Conduct</w:t>
      </w:r>
      <w:bookmarkEnd w:id="95"/>
      <w:bookmarkEnd w:id="96"/>
      <w:bookmarkEnd w:id="97"/>
      <w:bookmarkEnd w:id="98"/>
    </w:p>
    <w:p w14:paraId="163D686C" w14:textId="0C403ED9" w:rsidR="004D34FC" w:rsidRPr="00546AF1" w:rsidRDefault="004D34FC" w:rsidP="00EB6567">
      <w:pPr>
        <w:pStyle w:val="Style1"/>
      </w:pPr>
      <w:r w:rsidRPr="00546AF1">
        <w:t xml:space="preserve">The </w:t>
      </w:r>
      <w:r w:rsidRPr="00546AF1">
        <w:rPr>
          <w:i/>
          <w:iCs/>
        </w:rPr>
        <w:t xml:space="preserve">Ministerial Code of Conduct </w:t>
      </w:r>
      <w:r w:rsidRPr="00546AF1">
        <w:t>(‘</w:t>
      </w:r>
      <w:r w:rsidR="005F0606" w:rsidRPr="00546AF1">
        <w:t>C</w:t>
      </w:r>
      <w:r w:rsidRPr="00546AF1">
        <w:t xml:space="preserve">ode of Conduct’) requires Ministers and Assistant Ministers to meet with the </w:t>
      </w:r>
      <w:r w:rsidR="008C27A4" w:rsidRPr="00546AF1">
        <w:t>QIC</w:t>
      </w:r>
      <w:r w:rsidR="00341677" w:rsidRPr="00546AF1">
        <w:t xml:space="preserve"> </w:t>
      </w:r>
      <w:r w:rsidRPr="00546AF1">
        <w:t xml:space="preserve">within twelve months of any previous formal advice or meeting, to discuss their compliance with the code of conduct. </w:t>
      </w:r>
    </w:p>
    <w:p w14:paraId="4CDBA4DE" w14:textId="77777777" w:rsidR="004D34FC" w:rsidRPr="00546AF1" w:rsidRDefault="004D34FC" w:rsidP="00EB6567">
      <w:pPr>
        <w:pStyle w:val="Style1"/>
      </w:pPr>
    </w:p>
    <w:p w14:paraId="2E975157" w14:textId="4E99FAB2" w:rsidR="004D34FC" w:rsidRPr="00546AF1" w:rsidRDefault="00D93888" w:rsidP="00EB6567">
      <w:pPr>
        <w:pStyle w:val="Style1"/>
      </w:pPr>
      <w:r w:rsidRPr="00546AF1">
        <w:t xml:space="preserve">During the period 18 November 2020 to 30 June 2021, </w:t>
      </w:r>
      <w:r w:rsidR="004D34FC" w:rsidRPr="00546AF1">
        <w:t xml:space="preserve">all Ministers and Assistant Ministers complied with this obligation of the </w:t>
      </w:r>
      <w:r w:rsidR="003064CB">
        <w:t>C</w:t>
      </w:r>
      <w:r w:rsidR="004D34FC" w:rsidRPr="00546AF1">
        <w:t>ode of</w:t>
      </w:r>
      <w:r w:rsidR="003064CB">
        <w:t xml:space="preserve"> C</w:t>
      </w:r>
      <w:r w:rsidR="004D34FC" w:rsidRPr="00546AF1">
        <w:t xml:space="preserve">onduct during the financial year. </w:t>
      </w:r>
      <w:r w:rsidR="00B64B3C" w:rsidRPr="00546AF1">
        <w:t xml:space="preserve">That is, the </w:t>
      </w:r>
      <w:r w:rsidR="008C27A4" w:rsidRPr="00546AF1">
        <w:t>QIC</w:t>
      </w:r>
      <w:r w:rsidR="00341677" w:rsidRPr="00546AF1">
        <w:t xml:space="preserve"> </w:t>
      </w:r>
      <w:r w:rsidR="004D34FC" w:rsidRPr="00546AF1">
        <w:t xml:space="preserve">either met with and/ or provided formal advice to each Minister and Assistant Minister regarding their obligations under the </w:t>
      </w:r>
      <w:r w:rsidR="005F0606" w:rsidRPr="00546AF1">
        <w:t>C</w:t>
      </w:r>
      <w:r w:rsidR="004D34FC" w:rsidRPr="00546AF1">
        <w:t xml:space="preserve">ode of </w:t>
      </w:r>
      <w:r w:rsidR="005F0606" w:rsidRPr="00546AF1">
        <w:t>C</w:t>
      </w:r>
      <w:r w:rsidR="004D34FC" w:rsidRPr="00546AF1">
        <w:t>onduct.</w:t>
      </w:r>
    </w:p>
    <w:p w14:paraId="7E184880" w14:textId="77777777" w:rsidR="004D34FC" w:rsidRPr="00546AF1" w:rsidRDefault="004D34FC" w:rsidP="00EB6567">
      <w:pPr>
        <w:pStyle w:val="Style1"/>
      </w:pPr>
    </w:p>
    <w:p w14:paraId="04A244CC" w14:textId="56BF3AF7" w:rsidR="004D34FC" w:rsidRPr="00546AF1" w:rsidRDefault="004D34FC" w:rsidP="00EB6567">
      <w:pPr>
        <w:pStyle w:val="Style1"/>
      </w:pPr>
      <w:r w:rsidRPr="00546AF1">
        <w:t xml:space="preserve">Further, the </w:t>
      </w:r>
      <w:r w:rsidR="005F0606" w:rsidRPr="00546AF1">
        <w:t>C</w:t>
      </w:r>
      <w:r w:rsidRPr="00546AF1">
        <w:t xml:space="preserve">ode of </w:t>
      </w:r>
      <w:r w:rsidR="005F0606" w:rsidRPr="00546AF1">
        <w:t>C</w:t>
      </w:r>
      <w:r w:rsidRPr="00546AF1">
        <w:t xml:space="preserve">onduct also requires the </w:t>
      </w:r>
      <w:r w:rsidR="008C27A4" w:rsidRPr="00546AF1">
        <w:t>QIC</w:t>
      </w:r>
      <w:r w:rsidR="00341677" w:rsidRPr="00546AF1">
        <w:t xml:space="preserve"> </w:t>
      </w:r>
      <w:r w:rsidRPr="00546AF1">
        <w:t xml:space="preserve">to undertake random checks of Ministers and Assistant Ministers compliance with the </w:t>
      </w:r>
      <w:r w:rsidR="005F0606" w:rsidRPr="00546AF1">
        <w:t>C</w:t>
      </w:r>
      <w:r w:rsidRPr="00546AF1">
        <w:t xml:space="preserve">ode of </w:t>
      </w:r>
      <w:r w:rsidR="005F0606" w:rsidRPr="00546AF1">
        <w:t>C</w:t>
      </w:r>
      <w:r w:rsidRPr="00546AF1">
        <w:t xml:space="preserve">onduct. Ministers and Assistant Ministers are expected to provide the </w:t>
      </w:r>
      <w:r w:rsidR="008C27A4" w:rsidRPr="00546AF1">
        <w:t>QIC</w:t>
      </w:r>
      <w:r w:rsidR="00341677" w:rsidRPr="00546AF1">
        <w:t xml:space="preserve"> </w:t>
      </w:r>
      <w:r w:rsidRPr="00546AF1">
        <w:t xml:space="preserve">with such relevant materials as requested and answer any relevant questions </w:t>
      </w:r>
      <w:proofErr w:type="gramStart"/>
      <w:r w:rsidRPr="00546AF1">
        <w:t>in order for</w:t>
      </w:r>
      <w:proofErr w:type="gramEnd"/>
      <w:r w:rsidRPr="00546AF1">
        <w:t xml:space="preserve"> the </w:t>
      </w:r>
      <w:r w:rsidR="008C27A4" w:rsidRPr="00546AF1">
        <w:t>QIC</w:t>
      </w:r>
      <w:r w:rsidR="00341677" w:rsidRPr="00546AF1">
        <w:t xml:space="preserve"> </w:t>
      </w:r>
      <w:r w:rsidRPr="00546AF1">
        <w:t>to carry out or delegate th</w:t>
      </w:r>
      <w:r w:rsidR="00193CCE">
        <w:t xml:space="preserve">is task. </w:t>
      </w:r>
    </w:p>
    <w:p w14:paraId="603607F8" w14:textId="77777777" w:rsidR="004D34FC" w:rsidRPr="00546AF1" w:rsidRDefault="004D34FC" w:rsidP="00EB6567">
      <w:pPr>
        <w:pStyle w:val="Style1"/>
      </w:pPr>
    </w:p>
    <w:p w14:paraId="13DCA856" w14:textId="58455D4C" w:rsidR="004D34FC" w:rsidRPr="00546AF1" w:rsidRDefault="004D34FC" w:rsidP="00EB6567">
      <w:pPr>
        <w:pStyle w:val="Style1"/>
      </w:pPr>
      <w:r w:rsidRPr="00546AF1">
        <w:t xml:space="preserve">Noting that this term of Parliament commenced on 25 November 2020, this </w:t>
      </w:r>
      <w:proofErr w:type="gramStart"/>
      <w:r w:rsidRPr="00546AF1">
        <w:t>particular obligation</w:t>
      </w:r>
      <w:proofErr w:type="gramEnd"/>
      <w:r w:rsidRPr="00546AF1">
        <w:t xml:space="preserve"> of the </w:t>
      </w:r>
      <w:r w:rsidR="005D4D5B" w:rsidRPr="00546AF1">
        <w:t>C</w:t>
      </w:r>
      <w:r w:rsidRPr="00546AF1">
        <w:t xml:space="preserve">onduct of </w:t>
      </w:r>
      <w:r w:rsidR="005D4D5B" w:rsidRPr="00546AF1">
        <w:t>C</w:t>
      </w:r>
      <w:r w:rsidRPr="00546AF1">
        <w:t>ode will be complied with by 1 November 2021.</w:t>
      </w:r>
    </w:p>
    <w:p w14:paraId="4C0E7AE1" w14:textId="77777777" w:rsidR="00600546" w:rsidRPr="00546AF1" w:rsidRDefault="00600546" w:rsidP="00BE4B1E">
      <w:pPr>
        <w:rPr>
          <w:rFonts w:ascii="Times New Roman" w:hAnsi="Times New Roman"/>
          <w:szCs w:val="20"/>
        </w:rPr>
      </w:pPr>
    </w:p>
    <w:p w14:paraId="7CA58FE5" w14:textId="1E981947" w:rsidR="00C41BA6" w:rsidRPr="00546AF1" w:rsidRDefault="00C41BA6" w:rsidP="00F41A4B">
      <w:pPr>
        <w:pStyle w:val="Heading3"/>
      </w:pPr>
      <w:bookmarkStart w:id="99" w:name="_Toc83044387"/>
      <w:bookmarkStart w:id="100" w:name="_Toc83731454"/>
      <w:bookmarkStart w:id="101" w:name="_Toc83802782"/>
      <w:bookmarkStart w:id="102" w:name="_Toc83822867"/>
      <w:r w:rsidRPr="00546AF1">
        <w:t>Submissions and Hearings</w:t>
      </w:r>
      <w:bookmarkEnd w:id="99"/>
      <w:bookmarkEnd w:id="100"/>
      <w:bookmarkEnd w:id="101"/>
      <w:bookmarkEnd w:id="102"/>
    </w:p>
    <w:p w14:paraId="4B66E27D" w14:textId="6BC0C307" w:rsidR="00C41BA6" w:rsidRPr="00546AF1" w:rsidRDefault="00C41BA6" w:rsidP="00EB6567">
      <w:pPr>
        <w:pStyle w:val="Style1"/>
      </w:pPr>
      <w:r w:rsidRPr="00546AF1">
        <w:t xml:space="preserve">The </w:t>
      </w:r>
      <w:r w:rsidR="008C27A4" w:rsidRPr="00546AF1">
        <w:t>QIC</w:t>
      </w:r>
      <w:r w:rsidR="00341677" w:rsidRPr="00546AF1">
        <w:t xml:space="preserve"> </w:t>
      </w:r>
      <w:r w:rsidRPr="00546AF1">
        <w:t xml:space="preserve">appeared before the Economics and Governance Committee in </w:t>
      </w:r>
      <w:r w:rsidR="00F53407" w:rsidRPr="00546AF1">
        <w:t xml:space="preserve">a </w:t>
      </w:r>
      <w:r w:rsidRPr="00546AF1">
        <w:t xml:space="preserve">public briefing in fulfilment of the Committee’s statutory oversight function held on </w:t>
      </w:r>
      <w:r w:rsidR="00585573" w:rsidRPr="00546AF1">
        <w:t xml:space="preserve">7 December 2020, and </w:t>
      </w:r>
      <w:r w:rsidR="00F53407" w:rsidRPr="00546AF1">
        <w:t xml:space="preserve">in a private briefing in </w:t>
      </w:r>
      <w:r w:rsidR="00585573" w:rsidRPr="00546AF1">
        <w:t>held on 15 June 2021.</w:t>
      </w:r>
    </w:p>
    <w:p w14:paraId="450BB817" w14:textId="77777777" w:rsidR="00585573" w:rsidRPr="00546AF1" w:rsidRDefault="00585573" w:rsidP="00EB6567">
      <w:pPr>
        <w:pStyle w:val="Style1"/>
      </w:pPr>
    </w:p>
    <w:p w14:paraId="46DC061D" w14:textId="29FCC169" w:rsidR="00E7743C" w:rsidRPr="00546AF1" w:rsidRDefault="00DF06DB" w:rsidP="00EB6567">
      <w:pPr>
        <w:pStyle w:val="Style1"/>
      </w:pPr>
      <w:r w:rsidRPr="00546AF1">
        <w:t xml:space="preserve">Among other confidential consultations and submissions, the </w:t>
      </w:r>
      <w:r w:rsidR="008C27A4" w:rsidRPr="00546AF1">
        <w:t>QIC</w:t>
      </w:r>
      <w:r w:rsidR="00594545" w:rsidRPr="00546AF1">
        <w:t xml:space="preserve"> </w:t>
      </w:r>
      <w:r w:rsidR="00C41BA6" w:rsidRPr="00546AF1">
        <w:t>also</w:t>
      </w:r>
      <w:r w:rsidR="00E7743C" w:rsidRPr="00546AF1">
        <w:t>:</w:t>
      </w:r>
    </w:p>
    <w:p w14:paraId="095E6F3E" w14:textId="46FCE19D" w:rsidR="00E7743C" w:rsidRPr="00546AF1" w:rsidRDefault="00730C39" w:rsidP="00EB6567">
      <w:pPr>
        <w:pStyle w:val="Style1"/>
        <w:numPr>
          <w:ilvl w:val="0"/>
          <w:numId w:val="35"/>
        </w:numPr>
      </w:pPr>
      <w:r w:rsidRPr="00546AF1">
        <w:t xml:space="preserve">made </w:t>
      </w:r>
      <w:r w:rsidR="00DF06DB" w:rsidRPr="00546AF1">
        <w:t xml:space="preserve">a public </w:t>
      </w:r>
      <w:r w:rsidRPr="00546AF1">
        <w:t>submission</w:t>
      </w:r>
      <w:r w:rsidR="00DF06DB" w:rsidRPr="00546AF1">
        <w:t xml:space="preserve"> </w:t>
      </w:r>
      <w:r w:rsidR="002A3ADB" w:rsidRPr="00546AF1">
        <w:t>in relation to</w:t>
      </w:r>
      <w:r w:rsidR="00DF06DB" w:rsidRPr="00546AF1">
        <w:t xml:space="preserve"> the proposed Commonwealth Integrity Commission </w:t>
      </w:r>
      <w:r w:rsidR="00585573" w:rsidRPr="00546AF1">
        <w:t xml:space="preserve">on </w:t>
      </w:r>
      <w:r w:rsidR="00585573" w:rsidRPr="00047606">
        <w:t>12</w:t>
      </w:r>
      <w:r w:rsidR="00047606">
        <w:t> </w:t>
      </w:r>
      <w:r w:rsidR="00585573" w:rsidRPr="00047606">
        <w:t>February</w:t>
      </w:r>
      <w:r w:rsidR="00585573" w:rsidRPr="00546AF1">
        <w:t xml:space="preserve"> 2021 to the Attorney</w:t>
      </w:r>
      <w:r w:rsidR="00047606">
        <w:noBreakHyphen/>
      </w:r>
      <w:r w:rsidR="00585573" w:rsidRPr="00546AF1">
        <w:t>General’s Department</w:t>
      </w:r>
      <w:r w:rsidR="00E7743C" w:rsidRPr="00546AF1">
        <w:t>,</w:t>
      </w:r>
    </w:p>
    <w:p w14:paraId="37C7AC7E" w14:textId="7B1A01EC" w:rsidR="002A3ADB" w:rsidRPr="00546AF1" w:rsidRDefault="000468B7" w:rsidP="00EB6567">
      <w:pPr>
        <w:pStyle w:val="Style1"/>
        <w:numPr>
          <w:ilvl w:val="0"/>
          <w:numId w:val="35"/>
        </w:numPr>
      </w:pPr>
      <w:r w:rsidRPr="00546AF1">
        <w:t xml:space="preserve">attended a consultation session </w:t>
      </w:r>
      <w:r w:rsidR="00585573" w:rsidRPr="00546AF1">
        <w:t xml:space="preserve">in relation to the Commonwealth/Federal Government draft legislation to establish a </w:t>
      </w:r>
      <w:r w:rsidR="0064139E" w:rsidRPr="00546AF1">
        <w:t>Commonwealth Integrity Commission</w:t>
      </w:r>
      <w:r w:rsidR="00E7743C" w:rsidRPr="00546AF1">
        <w:t xml:space="preserve">, and </w:t>
      </w:r>
      <w:r w:rsidR="00585573" w:rsidRPr="00546AF1">
        <w:t xml:space="preserve"> </w:t>
      </w:r>
    </w:p>
    <w:p w14:paraId="5589A72F" w14:textId="09A91889" w:rsidR="00BE4B1E" w:rsidRDefault="00585573" w:rsidP="00EB6567">
      <w:pPr>
        <w:pStyle w:val="Style1"/>
        <w:numPr>
          <w:ilvl w:val="0"/>
          <w:numId w:val="35"/>
        </w:numPr>
      </w:pPr>
      <w:r w:rsidRPr="00546AF1">
        <w:t xml:space="preserve">attended a consultation session for </w:t>
      </w:r>
      <w:r w:rsidR="00193CCE">
        <w:t>S</w:t>
      </w:r>
      <w:r w:rsidRPr="00546AF1">
        <w:t xml:space="preserve">tate and </w:t>
      </w:r>
      <w:r w:rsidR="00193CCE">
        <w:t>T</w:t>
      </w:r>
      <w:r w:rsidRPr="00546AF1">
        <w:t>erritory integrity bodies in December 2020</w:t>
      </w:r>
      <w:r w:rsidR="000D434A" w:rsidRPr="00546AF1">
        <w:t xml:space="preserve"> in relation to the same matter. </w:t>
      </w:r>
    </w:p>
    <w:p w14:paraId="4DCF5907" w14:textId="269733F7" w:rsidR="0000281F" w:rsidRDefault="0000281F" w:rsidP="00EB6567">
      <w:pPr>
        <w:pStyle w:val="Style1"/>
      </w:pPr>
    </w:p>
    <w:p w14:paraId="5C4C93A4" w14:textId="77777777" w:rsidR="0000281F" w:rsidRPr="00546AF1" w:rsidRDefault="0000281F" w:rsidP="0000281F">
      <w:pPr>
        <w:pStyle w:val="Heading4"/>
      </w:pPr>
      <w:r w:rsidRPr="00546AF1">
        <w:t>Right to information and information privacy</w:t>
      </w:r>
    </w:p>
    <w:p w14:paraId="00C8F072" w14:textId="3EABBE23" w:rsidR="0000281F" w:rsidRPr="00546AF1" w:rsidRDefault="0000281F" w:rsidP="00EB6567">
      <w:pPr>
        <w:pStyle w:val="Style1"/>
      </w:pPr>
      <w:r w:rsidRPr="007D0A9B">
        <w:t xml:space="preserve">The QIC received </w:t>
      </w:r>
      <w:r w:rsidR="00F71C20">
        <w:t xml:space="preserve">two </w:t>
      </w:r>
      <w:r w:rsidRPr="007D0A9B">
        <w:t xml:space="preserve">Right to Information applications and </w:t>
      </w:r>
      <w:r w:rsidR="00F71C20">
        <w:t xml:space="preserve">one </w:t>
      </w:r>
      <w:r w:rsidRPr="007D0A9B">
        <w:t>Information Privacy application in 2020</w:t>
      </w:r>
      <w:r w:rsidR="00047606">
        <w:noBreakHyphen/>
      </w:r>
      <w:r w:rsidRPr="007D0A9B">
        <w:t>21. One of the Right to Information applications was withdrawn, and the other Right to Information application and Information Privacy application were redirected to the appropriate agencies.</w:t>
      </w:r>
      <w:r w:rsidRPr="00546AF1">
        <w:t xml:space="preserve"> </w:t>
      </w:r>
    </w:p>
    <w:p w14:paraId="37BCEE2D" w14:textId="77777777" w:rsidR="0000281F" w:rsidRPr="00546AF1" w:rsidRDefault="0000281F" w:rsidP="00EB6567">
      <w:pPr>
        <w:pStyle w:val="Style1"/>
      </w:pPr>
    </w:p>
    <w:p w14:paraId="660A06FE" w14:textId="77777777" w:rsidR="0000281F" w:rsidRPr="00546AF1" w:rsidRDefault="0000281F" w:rsidP="00EB6567">
      <w:pPr>
        <w:pStyle w:val="Style1"/>
      </w:pPr>
      <w:r w:rsidRPr="00546AF1">
        <w:t>The QIC did not collect any application fees or processing charges.</w:t>
      </w:r>
    </w:p>
    <w:p w14:paraId="29BB30FE" w14:textId="77777777" w:rsidR="0000281F" w:rsidRPr="00546AF1" w:rsidRDefault="0000281F" w:rsidP="00EB6567">
      <w:pPr>
        <w:pStyle w:val="Style1"/>
      </w:pPr>
    </w:p>
    <w:p w14:paraId="4C2EA43F" w14:textId="7C3D55E4" w:rsidR="002545E1" w:rsidRDefault="0000281F" w:rsidP="00EB6567">
      <w:pPr>
        <w:pStyle w:val="Style1"/>
      </w:pPr>
      <w:r w:rsidRPr="00546AF1">
        <w:t xml:space="preserve">No public interest disclosure applications under the </w:t>
      </w:r>
      <w:r w:rsidRPr="00546AF1">
        <w:rPr>
          <w:i/>
          <w:iCs/>
        </w:rPr>
        <w:t>Public Interest Disclosure Act 2010</w:t>
      </w:r>
      <w:r w:rsidRPr="00546AF1">
        <w:t xml:space="preserve"> were received by the </w:t>
      </w:r>
      <w:r w:rsidR="00D82004">
        <w:t>QIC</w:t>
      </w:r>
      <w:r w:rsidRPr="00546AF1">
        <w:t xml:space="preserve">. </w:t>
      </w:r>
    </w:p>
    <w:p w14:paraId="5F549BB2" w14:textId="77777777" w:rsidR="002545E1" w:rsidRDefault="002545E1" w:rsidP="00EB6567">
      <w:pPr>
        <w:pStyle w:val="Style1"/>
      </w:pPr>
    </w:p>
    <w:p w14:paraId="0D533746" w14:textId="7886E0F3" w:rsidR="0000281F" w:rsidRPr="00546AF1" w:rsidRDefault="0000281F" w:rsidP="00EB6567">
      <w:pPr>
        <w:pStyle w:val="Style1"/>
      </w:pPr>
      <w:r w:rsidRPr="00546AF1">
        <w:t xml:space="preserve">No applications were received in relation to the advice functions of the Act and no information can be provided about the </w:t>
      </w:r>
      <w:r w:rsidR="002545E1">
        <w:t>QIC’s</w:t>
      </w:r>
      <w:r w:rsidRPr="0000281F">
        <w:t xml:space="preserve"> activities under Chapter 3 of the Act.</w:t>
      </w:r>
      <w:r w:rsidRPr="00546AF1">
        <w:t xml:space="preserve"> </w:t>
      </w:r>
    </w:p>
    <w:p w14:paraId="11B15D14" w14:textId="77777777" w:rsidR="0000281F" w:rsidRPr="00546AF1" w:rsidRDefault="0000281F" w:rsidP="00EB6567">
      <w:pPr>
        <w:pStyle w:val="Style1"/>
      </w:pPr>
    </w:p>
    <w:p w14:paraId="73584E17" w14:textId="77777777" w:rsidR="00A5095D" w:rsidRPr="00546AF1" w:rsidRDefault="00A5095D" w:rsidP="00BC6B48">
      <w:pPr>
        <w:outlineLvl w:val="0"/>
        <w:rPr>
          <w:rFonts w:ascii="Times New Roman" w:hAnsi="Times New Roman"/>
          <w:b/>
          <w:bCs/>
          <w:color w:val="000000"/>
          <w:szCs w:val="22"/>
          <w:highlight w:val="yellow"/>
        </w:rPr>
      </w:pPr>
    </w:p>
    <w:p w14:paraId="20A67ECF" w14:textId="07F69012" w:rsidR="00BE4B1E" w:rsidRPr="00546AF1" w:rsidRDefault="00BE4B1E" w:rsidP="00BE4B1E">
      <w:pPr>
        <w:rPr>
          <w:rFonts w:ascii="Times New Roman" w:hAnsi="Times New Roman"/>
          <w:szCs w:val="20"/>
        </w:rPr>
      </w:pPr>
      <w:r w:rsidRPr="00546AF1">
        <w:rPr>
          <w:rFonts w:ascii="Times New Roman" w:hAnsi="Times New Roman"/>
          <w:szCs w:val="20"/>
        </w:rPr>
        <w:br w:type="page"/>
      </w:r>
    </w:p>
    <w:p w14:paraId="010AE220" w14:textId="367EAC09" w:rsidR="00833527" w:rsidRPr="00546AF1" w:rsidRDefault="00BF2587" w:rsidP="005C7BAF">
      <w:pPr>
        <w:pStyle w:val="Heading2"/>
      </w:pPr>
      <w:bookmarkStart w:id="103" w:name="_Toc83731455"/>
      <w:bookmarkStart w:id="104" w:name="_Toc83822868"/>
      <w:r>
        <w:lastRenderedPageBreak/>
        <w:t xml:space="preserve">11. </w:t>
      </w:r>
      <w:r w:rsidR="002B2946" w:rsidRPr="00546AF1">
        <w:t>Administration and Governance Arrangements</w:t>
      </w:r>
      <w:bookmarkEnd w:id="103"/>
      <w:bookmarkEnd w:id="104"/>
      <w:r w:rsidR="002B2946" w:rsidRPr="00546AF1">
        <w:t xml:space="preserve"> </w:t>
      </w:r>
    </w:p>
    <w:p w14:paraId="4DEACED9" w14:textId="77777777" w:rsidR="007679CA" w:rsidRDefault="007679CA" w:rsidP="00745AED">
      <w:pPr>
        <w:spacing w:line="276" w:lineRule="auto"/>
        <w:rPr>
          <w:rFonts w:ascii="Times New Roman" w:hAnsi="Times New Roman"/>
          <w:szCs w:val="20"/>
        </w:rPr>
      </w:pPr>
    </w:p>
    <w:p w14:paraId="349A9CC1" w14:textId="6970C48F" w:rsidR="00BF2587" w:rsidRDefault="00BF2587" w:rsidP="00745AED">
      <w:pPr>
        <w:spacing w:line="276" w:lineRule="auto"/>
        <w:rPr>
          <w:rFonts w:ascii="Times New Roman" w:hAnsi="Times New Roman"/>
          <w:szCs w:val="20"/>
        </w:rPr>
      </w:pPr>
      <w:r>
        <w:rPr>
          <w:rFonts w:ascii="Times New Roman" w:hAnsi="Times New Roman"/>
          <w:szCs w:val="20"/>
        </w:rPr>
        <w:t xml:space="preserve">This section provides general information about governance, </w:t>
      </w:r>
      <w:r w:rsidR="0000281F">
        <w:rPr>
          <w:rFonts w:ascii="Times New Roman" w:hAnsi="Times New Roman"/>
          <w:szCs w:val="20"/>
        </w:rPr>
        <w:t xml:space="preserve">as well as information about </w:t>
      </w:r>
      <w:r>
        <w:rPr>
          <w:rFonts w:ascii="Times New Roman" w:hAnsi="Times New Roman"/>
          <w:szCs w:val="20"/>
        </w:rPr>
        <w:t>staffing, resourcing</w:t>
      </w:r>
      <w:r w:rsidR="0000281F">
        <w:rPr>
          <w:rFonts w:ascii="Times New Roman" w:hAnsi="Times New Roman"/>
          <w:szCs w:val="20"/>
        </w:rPr>
        <w:t xml:space="preserve">, </w:t>
      </w:r>
      <w:r w:rsidR="007D0A9B">
        <w:rPr>
          <w:rFonts w:ascii="Times New Roman" w:hAnsi="Times New Roman"/>
          <w:szCs w:val="20"/>
        </w:rPr>
        <w:t>risk management</w:t>
      </w:r>
      <w:r w:rsidR="000A062D">
        <w:rPr>
          <w:rFonts w:ascii="Times New Roman" w:hAnsi="Times New Roman"/>
          <w:szCs w:val="20"/>
        </w:rPr>
        <w:t>,</w:t>
      </w:r>
      <w:r w:rsidR="007D0A9B">
        <w:rPr>
          <w:rFonts w:ascii="Times New Roman" w:hAnsi="Times New Roman"/>
          <w:szCs w:val="20"/>
        </w:rPr>
        <w:t xml:space="preserve"> and information systems. </w:t>
      </w:r>
    </w:p>
    <w:p w14:paraId="6BA40A04" w14:textId="28D6D58F" w:rsidR="00BF2587" w:rsidRDefault="00BF2587" w:rsidP="00BF2587">
      <w:pPr>
        <w:rPr>
          <w:rFonts w:ascii="Times New Roman" w:hAnsi="Times New Roman"/>
          <w:szCs w:val="20"/>
        </w:rPr>
      </w:pPr>
    </w:p>
    <w:p w14:paraId="54CBA9FC" w14:textId="68D97A74" w:rsidR="005B20CE" w:rsidRDefault="005B20CE" w:rsidP="00F41A4B">
      <w:pPr>
        <w:pStyle w:val="Heading3"/>
      </w:pPr>
      <w:bookmarkStart w:id="105" w:name="_Toc83822869"/>
      <w:r>
        <w:t xml:space="preserve">Governance </w:t>
      </w:r>
      <w:r w:rsidR="001E72C5">
        <w:t>and administration arrangements generally</w:t>
      </w:r>
      <w:bookmarkEnd w:id="105"/>
      <w:r w:rsidR="001E72C5">
        <w:t xml:space="preserve"> </w:t>
      </w:r>
    </w:p>
    <w:p w14:paraId="23F50C7D" w14:textId="2A8086F8" w:rsidR="005C7BAF" w:rsidRPr="00546AF1" w:rsidRDefault="005C7BAF" w:rsidP="00EB6567">
      <w:pPr>
        <w:pStyle w:val="Style1"/>
      </w:pPr>
      <w:r w:rsidRPr="00546AF1">
        <w:t>Good governance structures are important</w:t>
      </w:r>
      <w:r w:rsidR="003F1E2D">
        <w:t xml:space="preserve">, </w:t>
      </w:r>
      <w:r w:rsidR="003F1E2D" w:rsidRPr="00546AF1">
        <w:t>particularly where independence is valued</w:t>
      </w:r>
      <w:r w:rsidR="003F1E2D">
        <w:t xml:space="preserve">. </w:t>
      </w:r>
    </w:p>
    <w:p w14:paraId="3C3E14F6" w14:textId="77777777" w:rsidR="005C7BAF" w:rsidRPr="00546AF1" w:rsidRDefault="005C7BAF" w:rsidP="00EB6567">
      <w:pPr>
        <w:pStyle w:val="Style1"/>
      </w:pPr>
    </w:p>
    <w:p w14:paraId="6EB17E9B" w14:textId="421AB37C" w:rsidR="00DB2866" w:rsidRPr="00546AF1" w:rsidRDefault="00DB2866" w:rsidP="00EB6567">
      <w:pPr>
        <w:pStyle w:val="Style1"/>
      </w:pPr>
      <w:r w:rsidRPr="00546AF1">
        <w:t>Under the current administrative and governance arrangements</w:t>
      </w:r>
      <w:r w:rsidR="007B3E19">
        <w:t xml:space="preserve"> </w:t>
      </w:r>
      <w:r w:rsidR="00A564E5">
        <w:t>which are historical</w:t>
      </w:r>
      <w:r w:rsidRPr="00546AF1">
        <w:t>, the Public Service Commission (PSC)</w:t>
      </w:r>
      <w:r w:rsidR="00A564E5">
        <w:t xml:space="preserve"> </w:t>
      </w:r>
      <w:r w:rsidRPr="00546AF1">
        <w:t xml:space="preserve">is accountable for the financial, operational, and administrative performance of the office supporting the </w:t>
      </w:r>
      <w:r w:rsidR="007941F1">
        <w:t>QIC</w:t>
      </w:r>
      <w:r w:rsidRPr="00546AF1">
        <w:t xml:space="preserve">, including the provision and management of human resources. </w:t>
      </w:r>
    </w:p>
    <w:p w14:paraId="2A52E863" w14:textId="77777777" w:rsidR="00DB2866" w:rsidRPr="00546AF1" w:rsidRDefault="00DB2866" w:rsidP="00EB6567">
      <w:pPr>
        <w:pStyle w:val="Style1"/>
      </w:pPr>
    </w:p>
    <w:p w14:paraId="49A9DCFB" w14:textId="7643D6FA" w:rsidR="00DB2866" w:rsidRPr="00546AF1" w:rsidRDefault="00DB2866" w:rsidP="00EB6567">
      <w:pPr>
        <w:pStyle w:val="Style1"/>
      </w:pPr>
      <w:r w:rsidRPr="00546AF1">
        <w:t xml:space="preserve">In undertaking this function, the PSC in turn is supported by the Department of the Premier and Cabinet (DPC), in relation to information technology services and a range of other support services. </w:t>
      </w:r>
    </w:p>
    <w:p w14:paraId="148F59CF" w14:textId="77777777" w:rsidR="00DB2866" w:rsidRPr="00546AF1" w:rsidRDefault="00DB2866" w:rsidP="00EB6567">
      <w:pPr>
        <w:pStyle w:val="Style1"/>
      </w:pPr>
    </w:p>
    <w:p w14:paraId="5A751EC2" w14:textId="14438E8B" w:rsidR="00DB2866" w:rsidRDefault="00DB2866" w:rsidP="00EB6567">
      <w:pPr>
        <w:pStyle w:val="Style1"/>
      </w:pPr>
      <w:r w:rsidRPr="00546AF1">
        <w:t xml:space="preserve">The </w:t>
      </w:r>
      <w:r w:rsidR="008C27A4" w:rsidRPr="00546AF1">
        <w:t>QIC</w:t>
      </w:r>
      <w:r w:rsidR="00594545" w:rsidRPr="00546AF1">
        <w:t xml:space="preserve"> </w:t>
      </w:r>
      <w:r w:rsidRPr="00546AF1">
        <w:t xml:space="preserve">does not control the budget allocated by Government, with the PSC retaining the authority and responsibility to provide the resources </w:t>
      </w:r>
      <w:r w:rsidR="007B3E19">
        <w:t xml:space="preserve">and </w:t>
      </w:r>
      <w:r w:rsidRPr="00546AF1">
        <w:t xml:space="preserve">administrative support necessary to ensure that that the </w:t>
      </w:r>
      <w:r w:rsidR="008C27A4" w:rsidRPr="00546AF1">
        <w:t>QIC</w:t>
      </w:r>
      <w:r w:rsidR="00594545" w:rsidRPr="00546AF1">
        <w:t xml:space="preserve"> </w:t>
      </w:r>
      <w:r w:rsidRPr="00546AF1">
        <w:t xml:space="preserve">is able to undertake the statutory functions </w:t>
      </w:r>
      <w:r w:rsidR="007B3E19">
        <w:t>associated with the</w:t>
      </w:r>
      <w:r w:rsidRPr="00546AF1">
        <w:t xml:space="preserve"> role.</w:t>
      </w:r>
    </w:p>
    <w:p w14:paraId="25DFCD0A" w14:textId="15C9AE82" w:rsidR="00FF6858" w:rsidRDefault="00FF6858" w:rsidP="00EB6567">
      <w:pPr>
        <w:pStyle w:val="Style1"/>
      </w:pPr>
    </w:p>
    <w:p w14:paraId="75387BB4" w14:textId="7FFAAEBD" w:rsidR="00FF6858" w:rsidRPr="00546AF1" w:rsidRDefault="00C7498C" w:rsidP="00EB6567">
      <w:pPr>
        <w:pStyle w:val="Style1"/>
      </w:pPr>
      <w:r>
        <w:t xml:space="preserve">The governance and administration arrangements are </w:t>
      </w:r>
      <w:r w:rsidR="00AB5DBA">
        <w:t>not replicated in the case of any other integrity agency</w:t>
      </w:r>
      <w:r w:rsidR="008E66D1">
        <w:t xml:space="preserve"> in Queensland. </w:t>
      </w:r>
      <w:r>
        <w:t xml:space="preserve">Further, </w:t>
      </w:r>
      <w:r w:rsidR="008D5368">
        <w:t xml:space="preserve">the arrangements operate in a such a way </w:t>
      </w:r>
      <w:r w:rsidR="00A228AE">
        <w:t xml:space="preserve">as to </w:t>
      </w:r>
      <w:r w:rsidR="008D5368">
        <w:t>place the QIC in a position of inherent vulnerability, due to dependence on the PSC exercis</w:t>
      </w:r>
      <w:r w:rsidR="00E942EE">
        <w:t xml:space="preserve">ing </w:t>
      </w:r>
      <w:r w:rsidR="008D5368">
        <w:t>its powers in a</w:t>
      </w:r>
      <w:r w:rsidR="009A74BC">
        <w:t xml:space="preserve"> judicious </w:t>
      </w:r>
      <w:r w:rsidR="008D5368">
        <w:t xml:space="preserve">manner. However, the QIC is an </w:t>
      </w:r>
      <w:r w:rsidR="00B92B53">
        <w:t xml:space="preserve">independent </w:t>
      </w:r>
      <w:r w:rsidR="008D5368">
        <w:t>Officer of Parliament, appointed by the Governor in Council, with statutory functions which require a commensurate degree of independence</w:t>
      </w:r>
      <w:r w:rsidR="00D14C72">
        <w:t xml:space="preserve">. </w:t>
      </w:r>
    </w:p>
    <w:p w14:paraId="129E51C8" w14:textId="77777777" w:rsidR="00DB2866" w:rsidRPr="00546AF1" w:rsidRDefault="00DB2866" w:rsidP="00EB6567">
      <w:pPr>
        <w:pStyle w:val="Style1"/>
      </w:pPr>
    </w:p>
    <w:p w14:paraId="6496B29A" w14:textId="5867B107" w:rsidR="00C35E5E" w:rsidRPr="00546AF1" w:rsidRDefault="009A74BC" w:rsidP="00EB6567">
      <w:pPr>
        <w:pStyle w:val="Style1"/>
      </w:pPr>
      <w:r>
        <w:t>I</w:t>
      </w:r>
      <w:r w:rsidR="006C0398" w:rsidRPr="00546AF1">
        <w:t xml:space="preserve">ssues </w:t>
      </w:r>
      <w:r w:rsidR="001617E7" w:rsidRPr="00546AF1">
        <w:t>in the governance and administration structure were</w:t>
      </w:r>
      <w:r w:rsidR="00D90B56" w:rsidRPr="00546AF1">
        <w:t xml:space="preserve"> highlighted </w:t>
      </w:r>
      <w:r w:rsidR="001617E7" w:rsidRPr="00546AF1">
        <w:t xml:space="preserve">in </w:t>
      </w:r>
      <w:r w:rsidR="00D90B56" w:rsidRPr="00546AF1">
        <w:t xml:space="preserve">the </w:t>
      </w:r>
      <w:r w:rsidR="00094B22" w:rsidRPr="00546AF1">
        <w:t>Bridgeman Review (‘the review’)</w:t>
      </w:r>
      <w:r w:rsidR="00D90B56" w:rsidRPr="00546AF1">
        <w:t xml:space="preserve">. The review </w:t>
      </w:r>
      <w:r w:rsidR="00094B22" w:rsidRPr="00546AF1">
        <w:t xml:space="preserve">found that, given the independence and importance of the </w:t>
      </w:r>
      <w:r w:rsidR="00D82004">
        <w:t>QIC</w:t>
      </w:r>
      <w:r w:rsidR="00094B22" w:rsidRPr="00546AF1">
        <w:t>, locating budget and support arrangements under the PSC is not appropriate.</w:t>
      </w:r>
      <w:r w:rsidR="00094B22" w:rsidRPr="00546AF1">
        <w:rPr>
          <w:rStyle w:val="FootnoteReference"/>
        </w:rPr>
        <w:footnoteReference w:id="6"/>
      </w:r>
      <w:r w:rsidR="00094B22" w:rsidRPr="00546AF1">
        <w:t xml:space="preserve"> </w:t>
      </w:r>
    </w:p>
    <w:p w14:paraId="5B858D9D" w14:textId="77777777" w:rsidR="00C35E5E" w:rsidRPr="00546AF1" w:rsidRDefault="00C35E5E" w:rsidP="00EB6567">
      <w:pPr>
        <w:pStyle w:val="Style1"/>
      </w:pPr>
    </w:p>
    <w:p w14:paraId="7B17E11C" w14:textId="39E3D217" w:rsidR="00094B22" w:rsidRPr="00546AF1" w:rsidRDefault="00E4255E" w:rsidP="00EB6567">
      <w:pPr>
        <w:pStyle w:val="Style1"/>
      </w:pPr>
      <w:r w:rsidRPr="00546AF1">
        <w:t xml:space="preserve">The review noted that </w:t>
      </w:r>
      <w:r w:rsidR="00094B22" w:rsidRPr="00546AF1">
        <w:t xml:space="preserve">the </w:t>
      </w:r>
      <w:r w:rsidR="00D82004">
        <w:t>QIC</w:t>
      </w:r>
      <w:r w:rsidR="00094B22" w:rsidRPr="00546AF1">
        <w:t>’s functions extend well beyond the scope of the PSC</w:t>
      </w:r>
      <w:r w:rsidRPr="00546AF1">
        <w:t xml:space="preserve">, and </w:t>
      </w:r>
      <w:r w:rsidR="001E30A6">
        <w:t xml:space="preserve">that </w:t>
      </w:r>
      <w:r w:rsidR="00094B22" w:rsidRPr="00546AF1">
        <w:t xml:space="preserve">the </w:t>
      </w:r>
      <w:r w:rsidR="008C27A4" w:rsidRPr="00546AF1">
        <w:t>QIC</w:t>
      </w:r>
      <w:r w:rsidR="00502EAA" w:rsidRPr="00546AF1">
        <w:t xml:space="preserve"> </w:t>
      </w:r>
      <w:r w:rsidR="00094B22" w:rsidRPr="00546AF1">
        <w:t xml:space="preserve">is an officer of the </w:t>
      </w:r>
      <w:r w:rsidR="001E30A6" w:rsidRPr="00546AF1">
        <w:t>Parliament and</w:t>
      </w:r>
      <w:r w:rsidR="00094B22" w:rsidRPr="00546AF1">
        <w:t xml:space="preserve"> has functions affecting ministers and other members of parliament, ministerial staff, senior public servants, local </w:t>
      </w:r>
      <w:proofErr w:type="gramStart"/>
      <w:r w:rsidR="00094B22" w:rsidRPr="00546AF1">
        <w:t>government</w:t>
      </w:r>
      <w:proofErr w:type="gramEnd"/>
      <w:r w:rsidR="00094B22" w:rsidRPr="00546AF1">
        <w:t xml:space="preserve"> and lobbyists. Further, the </w:t>
      </w:r>
      <w:r w:rsidR="008C27A4" w:rsidRPr="00546AF1">
        <w:t>QIC</w:t>
      </w:r>
      <w:r w:rsidR="00502EAA" w:rsidRPr="00546AF1">
        <w:t xml:space="preserve"> </w:t>
      </w:r>
      <w:r w:rsidR="00094B22" w:rsidRPr="00546AF1">
        <w:t xml:space="preserve">is excluded from the operations of the </w:t>
      </w:r>
      <w:r w:rsidR="00094B22" w:rsidRPr="00546AF1">
        <w:rPr>
          <w:i/>
          <w:iCs/>
        </w:rPr>
        <w:t>Public Service Act 2008</w:t>
      </w:r>
      <w:r w:rsidR="00094B22" w:rsidRPr="00546AF1">
        <w:t xml:space="preserve"> for various purposes.</w:t>
      </w:r>
    </w:p>
    <w:p w14:paraId="2AF1128B" w14:textId="7D612633" w:rsidR="00583C3D" w:rsidRPr="00546AF1" w:rsidRDefault="00583C3D" w:rsidP="00EB6567">
      <w:pPr>
        <w:pStyle w:val="Style1"/>
      </w:pPr>
    </w:p>
    <w:p w14:paraId="5806280D" w14:textId="6B68F450" w:rsidR="004976B8" w:rsidRPr="00546AF1" w:rsidRDefault="001E30A6" w:rsidP="00EB6567">
      <w:pPr>
        <w:pStyle w:val="Style1"/>
      </w:pPr>
      <w:r>
        <w:t>T</w:t>
      </w:r>
      <w:r w:rsidR="00583C3D" w:rsidRPr="00546AF1">
        <w:t xml:space="preserve">he review </w:t>
      </w:r>
      <w:r w:rsidR="0060308B">
        <w:t xml:space="preserve">also noted </w:t>
      </w:r>
      <w:r w:rsidR="00583C3D" w:rsidRPr="00546AF1">
        <w:t xml:space="preserve">that </w:t>
      </w:r>
      <w:r w:rsidR="00094B22" w:rsidRPr="00546AF1">
        <w:t xml:space="preserve">support for the </w:t>
      </w:r>
      <w:r w:rsidR="008C27A4" w:rsidRPr="00546AF1">
        <w:t>QIC</w:t>
      </w:r>
      <w:r w:rsidR="00594545" w:rsidRPr="00546AF1">
        <w:t xml:space="preserve"> </w:t>
      </w:r>
      <w:r w:rsidR="00094B22" w:rsidRPr="00546AF1">
        <w:t xml:space="preserve">through the PSC is neither administratively efficient nor free from potential conflicts between the two entities’ functions. </w:t>
      </w:r>
    </w:p>
    <w:p w14:paraId="0DDFE664" w14:textId="77777777" w:rsidR="00833527" w:rsidRPr="00546AF1" w:rsidRDefault="00833527" w:rsidP="00EB6567">
      <w:pPr>
        <w:pStyle w:val="Style1"/>
      </w:pPr>
    </w:p>
    <w:p w14:paraId="7BC048F6" w14:textId="5FF2E783" w:rsidR="00F33A4D" w:rsidRPr="00546AF1" w:rsidRDefault="003F56E5" w:rsidP="00EB6567">
      <w:pPr>
        <w:pStyle w:val="Style1"/>
      </w:pPr>
      <w:r w:rsidRPr="00546AF1">
        <w:t xml:space="preserve">It is timely then that, </w:t>
      </w:r>
      <w:proofErr w:type="gramStart"/>
      <w:r w:rsidRPr="00546AF1">
        <w:t>i</w:t>
      </w:r>
      <w:r w:rsidR="00833527" w:rsidRPr="00546AF1">
        <w:t>n light of</w:t>
      </w:r>
      <w:proofErr w:type="gramEnd"/>
      <w:r w:rsidR="00833527" w:rsidRPr="00546AF1">
        <w:t xml:space="preserve"> the </w:t>
      </w:r>
      <w:r w:rsidRPr="00546AF1">
        <w:t xml:space="preserve">issues identified in the </w:t>
      </w:r>
      <w:r w:rsidR="008C0034">
        <w:t>review</w:t>
      </w:r>
      <w:r w:rsidRPr="00546AF1">
        <w:t xml:space="preserve">, the </w:t>
      </w:r>
      <w:r w:rsidR="00833527" w:rsidRPr="00546AF1">
        <w:t xml:space="preserve">substantial expansion of the </w:t>
      </w:r>
      <w:r w:rsidR="00ED56F1">
        <w:t xml:space="preserve">jurisdictions and functions </w:t>
      </w:r>
      <w:r w:rsidR="00833527" w:rsidRPr="00546AF1">
        <w:t xml:space="preserve">of the </w:t>
      </w:r>
      <w:r w:rsidR="008C27A4" w:rsidRPr="00546AF1">
        <w:t>QIC</w:t>
      </w:r>
      <w:r w:rsidR="00594545" w:rsidRPr="00546AF1">
        <w:t xml:space="preserve"> </w:t>
      </w:r>
      <w:r w:rsidR="00833527" w:rsidRPr="00546AF1">
        <w:t>since the Act was introduced</w:t>
      </w:r>
      <w:r w:rsidRPr="00546AF1">
        <w:t xml:space="preserve">, </w:t>
      </w:r>
      <w:r w:rsidR="00833527" w:rsidRPr="00546AF1">
        <w:t xml:space="preserve">and the heightened level of activity that has occurred during </w:t>
      </w:r>
      <w:r w:rsidRPr="00546AF1">
        <w:t xml:space="preserve">the past four years, </w:t>
      </w:r>
      <w:r w:rsidR="00DC4A14">
        <w:t xml:space="preserve">that </w:t>
      </w:r>
      <w:r w:rsidR="00833527" w:rsidRPr="00546AF1">
        <w:t xml:space="preserve">the </w:t>
      </w:r>
      <w:r w:rsidR="00DC4A14">
        <w:t>‘</w:t>
      </w:r>
      <w:r w:rsidR="00833527" w:rsidRPr="00546AF1">
        <w:t xml:space="preserve">Strategic Review into the Functions of the </w:t>
      </w:r>
      <w:r w:rsidR="008C27A4" w:rsidRPr="00546AF1">
        <w:t>Q</w:t>
      </w:r>
      <w:r w:rsidR="00DC4A14">
        <w:t>ueensland Integrity Commissioner</w:t>
      </w:r>
      <w:r w:rsidR="00996E9D">
        <w:t>’</w:t>
      </w:r>
      <w:r w:rsidR="00DC4A14">
        <w:t xml:space="preserve"> commenced this year </w:t>
      </w:r>
      <w:r w:rsidR="00996E9D">
        <w:t xml:space="preserve">with </w:t>
      </w:r>
      <w:r w:rsidR="00F33A4D" w:rsidRPr="00546AF1">
        <w:t xml:space="preserve">Mr Kevin </w:t>
      </w:r>
      <w:proofErr w:type="spellStart"/>
      <w:r w:rsidR="00F33A4D" w:rsidRPr="00546AF1">
        <w:t>Yearbury</w:t>
      </w:r>
      <w:proofErr w:type="spellEnd"/>
      <w:r w:rsidR="00F33A4D" w:rsidRPr="00546AF1">
        <w:t xml:space="preserve"> appointed as reviewer. </w:t>
      </w:r>
    </w:p>
    <w:p w14:paraId="0785D5B4" w14:textId="0EAC3A9B" w:rsidR="00281FA5" w:rsidRPr="00546AF1" w:rsidRDefault="00281FA5" w:rsidP="00EB6567">
      <w:pPr>
        <w:pStyle w:val="Style1"/>
      </w:pPr>
    </w:p>
    <w:p w14:paraId="25D7D639" w14:textId="196FB605" w:rsidR="00565347" w:rsidRPr="00546AF1" w:rsidRDefault="007736A7" w:rsidP="00EB6567">
      <w:pPr>
        <w:pStyle w:val="Style1"/>
      </w:pPr>
      <w:r w:rsidRPr="00546AF1">
        <w:t xml:space="preserve">The Strategic Review provides </w:t>
      </w:r>
      <w:r w:rsidR="00996E9D">
        <w:t xml:space="preserve">a timely and </w:t>
      </w:r>
      <w:r w:rsidRPr="00546AF1">
        <w:t xml:space="preserve">appropriate forum for the governance arrangements, as well as other aspects of the functions of the </w:t>
      </w:r>
      <w:r w:rsidR="00D82004">
        <w:t>QIC</w:t>
      </w:r>
      <w:r w:rsidRPr="00546AF1">
        <w:t>, to be considered by Parliament</w:t>
      </w:r>
      <w:r w:rsidR="00A71602" w:rsidRPr="00546AF1">
        <w:t>.</w:t>
      </w:r>
    </w:p>
    <w:p w14:paraId="72003083" w14:textId="77777777" w:rsidR="00A71602" w:rsidRPr="00546AF1" w:rsidRDefault="00A71602" w:rsidP="00EB6567">
      <w:pPr>
        <w:pStyle w:val="Style1"/>
      </w:pPr>
    </w:p>
    <w:p w14:paraId="7926979B" w14:textId="77777777" w:rsidR="005C237D" w:rsidRPr="00546AF1" w:rsidRDefault="005C237D" w:rsidP="00F41A4B">
      <w:pPr>
        <w:pStyle w:val="Heading3"/>
      </w:pPr>
      <w:bookmarkStart w:id="106" w:name="_Toc83731456"/>
      <w:bookmarkStart w:id="107" w:name="_Toc83802784"/>
      <w:bookmarkStart w:id="108" w:name="_Toc83822870"/>
      <w:r w:rsidRPr="00546AF1">
        <w:t>Staffing and Resources</w:t>
      </w:r>
      <w:bookmarkEnd w:id="106"/>
      <w:bookmarkEnd w:id="107"/>
      <w:bookmarkEnd w:id="108"/>
      <w:r w:rsidRPr="00546AF1">
        <w:t xml:space="preserve"> </w:t>
      </w:r>
    </w:p>
    <w:p w14:paraId="0333B285" w14:textId="77777777" w:rsidR="004320D5" w:rsidRDefault="004320D5" w:rsidP="004320D5">
      <w:pPr>
        <w:pStyle w:val="Style1"/>
      </w:pPr>
      <w:r w:rsidRPr="000B477B">
        <w:t xml:space="preserve">Four permanent fulltime equivalent (FTE) positions exist to support the </w:t>
      </w:r>
      <w:r>
        <w:t xml:space="preserve">QIC </w:t>
      </w:r>
      <w:r w:rsidRPr="000B477B">
        <w:t xml:space="preserve">perform her functions. </w:t>
      </w:r>
    </w:p>
    <w:p w14:paraId="71544CFD" w14:textId="77777777" w:rsidR="004320D5" w:rsidRPr="000B477B" w:rsidRDefault="004320D5" w:rsidP="004320D5">
      <w:pPr>
        <w:pStyle w:val="Style1"/>
      </w:pPr>
    </w:p>
    <w:p w14:paraId="55A8B0CA" w14:textId="77777777" w:rsidR="00D464FE" w:rsidRPr="00546AF1" w:rsidRDefault="00D464FE" w:rsidP="00D464FE">
      <w:pPr>
        <w:pStyle w:val="Style1"/>
      </w:pPr>
      <w:r>
        <w:lastRenderedPageBreak/>
        <w:t xml:space="preserve">Over the course of the year, of </w:t>
      </w:r>
      <w:r w:rsidRPr="00546AF1">
        <w:t>the four permanent positions:</w:t>
      </w:r>
    </w:p>
    <w:p w14:paraId="4393125E" w14:textId="70FBDF72" w:rsidR="00D464FE" w:rsidRDefault="00D464FE" w:rsidP="00D464FE">
      <w:pPr>
        <w:pStyle w:val="Style1"/>
        <w:numPr>
          <w:ilvl w:val="0"/>
          <w:numId w:val="37"/>
        </w:numPr>
      </w:pPr>
      <w:r>
        <w:t xml:space="preserve">the </w:t>
      </w:r>
      <w:r w:rsidR="00C346EC">
        <w:t>position of Director, Legal and Operations (SO3)</w:t>
      </w:r>
      <w:r>
        <w:t xml:space="preserve"> is permanently </w:t>
      </w:r>
      <w:r w:rsidR="00C346EC">
        <w:t xml:space="preserve">filled, however, the person occupying the position was removed to another agency in </w:t>
      </w:r>
      <w:r>
        <w:t>March 2021</w:t>
      </w:r>
      <w:r w:rsidR="00C346EC">
        <w:t xml:space="preserve"> and the role </w:t>
      </w:r>
      <w:r w:rsidR="00675728">
        <w:t xml:space="preserve">was </w:t>
      </w:r>
      <w:r w:rsidR="00C346EC">
        <w:t>not bac</w:t>
      </w:r>
      <w:r>
        <w:t>kfilled</w:t>
      </w:r>
    </w:p>
    <w:p w14:paraId="7C3489F2" w14:textId="48943112" w:rsidR="00D464FE" w:rsidRDefault="00D464FE" w:rsidP="00D464FE">
      <w:pPr>
        <w:pStyle w:val="Style1"/>
        <w:numPr>
          <w:ilvl w:val="0"/>
          <w:numId w:val="37"/>
        </w:numPr>
      </w:pPr>
      <w:r>
        <w:t xml:space="preserve">the </w:t>
      </w:r>
      <w:r w:rsidR="00C346EC">
        <w:t>position of Senior Legal Officer (</w:t>
      </w:r>
      <w:r>
        <w:t>PO5</w:t>
      </w:r>
      <w:r w:rsidR="00C346EC">
        <w:t xml:space="preserve">) was </w:t>
      </w:r>
      <w:r>
        <w:t xml:space="preserve">vacant from 1 July 2020 until 29 March 2021 when it was filled temporarily </w:t>
      </w:r>
      <w:r w:rsidR="007D3133">
        <w:t xml:space="preserve">by </w:t>
      </w:r>
      <w:r w:rsidR="00C346EC">
        <w:t xml:space="preserve">a person </w:t>
      </w:r>
      <w:r>
        <w:t>second</w:t>
      </w:r>
      <w:r w:rsidR="007D3133">
        <w:t xml:space="preserve">ed </w:t>
      </w:r>
      <w:r>
        <w:t>from another agency</w:t>
      </w:r>
    </w:p>
    <w:p w14:paraId="069CF50A" w14:textId="0F1063D9" w:rsidR="00D464FE" w:rsidRDefault="00D464FE" w:rsidP="00D464FE">
      <w:pPr>
        <w:pStyle w:val="Style1"/>
        <w:numPr>
          <w:ilvl w:val="0"/>
          <w:numId w:val="37"/>
        </w:numPr>
      </w:pPr>
      <w:r>
        <w:t xml:space="preserve">the </w:t>
      </w:r>
      <w:r w:rsidR="007D3133">
        <w:t>position of Office Manager (</w:t>
      </w:r>
      <w:r>
        <w:t>AO6</w:t>
      </w:r>
      <w:r w:rsidR="007D3133">
        <w:t xml:space="preserve">) </w:t>
      </w:r>
      <w:r w:rsidRPr="00546AF1">
        <w:t xml:space="preserve">is filled permanently </w:t>
      </w:r>
      <w:r w:rsidR="007D3133">
        <w:t>and has been occupied</w:t>
      </w:r>
      <w:r w:rsidR="00DB2064">
        <w:t xml:space="preserve"> </w:t>
      </w:r>
      <w:r w:rsidR="007D3133">
        <w:t>for the full financial year</w:t>
      </w:r>
      <w:r w:rsidR="00DB2064">
        <w:t xml:space="preserve">, and </w:t>
      </w:r>
    </w:p>
    <w:p w14:paraId="6DF88609" w14:textId="39A110FB" w:rsidR="00881982" w:rsidRDefault="00D464FE" w:rsidP="00881982">
      <w:pPr>
        <w:pStyle w:val="Style1"/>
        <w:numPr>
          <w:ilvl w:val="0"/>
          <w:numId w:val="37"/>
        </w:numPr>
      </w:pPr>
      <w:r>
        <w:t xml:space="preserve">the </w:t>
      </w:r>
      <w:r w:rsidR="00DB2064">
        <w:t xml:space="preserve">position </w:t>
      </w:r>
      <w:r w:rsidR="00881982">
        <w:t>Executive Officer (</w:t>
      </w:r>
      <w:r>
        <w:t>AO4</w:t>
      </w:r>
      <w:r w:rsidR="00881982">
        <w:t>)</w:t>
      </w:r>
      <w:r>
        <w:t xml:space="preserve"> </w:t>
      </w:r>
      <w:r w:rsidR="00881982">
        <w:t>is permanently filled, however, the person occupying the position was removed to another agency in November 2020</w:t>
      </w:r>
      <w:r w:rsidR="00AB4438">
        <w:t xml:space="preserve"> an</w:t>
      </w:r>
      <w:r w:rsidR="00881982">
        <w:t xml:space="preserve">d the role </w:t>
      </w:r>
      <w:r w:rsidR="00675728">
        <w:t xml:space="preserve">was </w:t>
      </w:r>
      <w:r w:rsidR="00881982">
        <w:t>not backfilled</w:t>
      </w:r>
      <w:r w:rsidR="00675728">
        <w:t>.</w:t>
      </w:r>
    </w:p>
    <w:p w14:paraId="7E07F78B" w14:textId="77777777" w:rsidR="00CF2526" w:rsidRDefault="00CF2526" w:rsidP="00EB6567">
      <w:pPr>
        <w:pStyle w:val="Style1"/>
      </w:pPr>
    </w:p>
    <w:p w14:paraId="629EFCD2" w14:textId="71022FD9" w:rsidR="000A12CB" w:rsidRDefault="00CF2526" w:rsidP="00EB6567">
      <w:pPr>
        <w:pStyle w:val="Style1"/>
      </w:pPr>
      <w:r>
        <w:t>Given the highly specialised work of the QIC</w:t>
      </w:r>
      <w:r w:rsidR="00C97878">
        <w:t>,</w:t>
      </w:r>
      <w:r>
        <w:t xml:space="preserve"> and the lack of legal expertise in the office after the staff changes </w:t>
      </w:r>
      <w:r w:rsidR="00872471">
        <w:t xml:space="preserve">in </w:t>
      </w:r>
      <w:r>
        <w:t>March of 2021</w:t>
      </w:r>
      <w:r w:rsidR="00C97878">
        <w:t>,</w:t>
      </w:r>
      <w:r w:rsidR="00900325">
        <w:t xml:space="preserve"> </w:t>
      </w:r>
      <w:r>
        <w:t>a</w:t>
      </w:r>
      <w:r w:rsidRPr="00CF2526">
        <w:t xml:space="preserve"> </w:t>
      </w:r>
      <w:r>
        <w:t xml:space="preserve">temporary </w:t>
      </w:r>
      <w:r w:rsidR="00675728">
        <w:t>Senior Legal Officer (PO5) position was</w:t>
      </w:r>
      <w:r>
        <w:t xml:space="preserve"> </w:t>
      </w:r>
      <w:r w:rsidR="00C97878">
        <w:t xml:space="preserve">created </w:t>
      </w:r>
      <w:r w:rsidR="00675728">
        <w:t xml:space="preserve">and </w:t>
      </w:r>
      <w:r w:rsidR="00872471">
        <w:t xml:space="preserve">has been </w:t>
      </w:r>
      <w:r w:rsidR="00675728">
        <w:t xml:space="preserve">filled </w:t>
      </w:r>
      <w:r w:rsidR="008B1133">
        <w:t xml:space="preserve">by a person seconded </w:t>
      </w:r>
      <w:r>
        <w:t>from another agency</w:t>
      </w:r>
      <w:r w:rsidR="003F0A63">
        <w:t xml:space="preserve"> from 12 April 202</w:t>
      </w:r>
      <w:r w:rsidR="00FD6B06">
        <w:t xml:space="preserve">1. </w:t>
      </w:r>
    </w:p>
    <w:p w14:paraId="64DABFC2" w14:textId="77777777" w:rsidR="000A12CB" w:rsidRDefault="000A12CB" w:rsidP="00EB6567">
      <w:pPr>
        <w:pStyle w:val="Style1"/>
      </w:pPr>
    </w:p>
    <w:p w14:paraId="365E02C2" w14:textId="4DD188D3" w:rsidR="00CF2526" w:rsidRPr="00EB6567" w:rsidRDefault="008A2A11" w:rsidP="00EB6567">
      <w:pPr>
        <w:pStyle w:val="Style1"/>
      </w:pPr>
      <w:r w:rsidRPr="00EB6567">
        <w:t xml:space="preserve">Further, </w:t>
      </w:r>
      <w:r w:rsidR="008E60B3">
        <w:t>following the changes in March</w:t>
      </w:r>
      <w:r w:rsidR="00A86EBC">
        <w:t xml:space="preserve"> 2021</w:t>
      </w:r>
      <w:r w:rsidR="008E60B3">
        <w:t xml:space="preserve">, </w:t>
      </w:r>
      <w:r w:rsidR="00FD6B06">
        <w:t xml:space="preserve">from mid-March, </w:t>
      </w:r>
      <w:r w:rsidRPr="00EB6567">
        <w:t xml:space="preserve">on a limited and intermittent basis, the PSC provided </w:t>
      </w:r>
      <w:r w:rsidR="000A12CB" w:rsidRPr="00EB6567">
        <w:t>a</w:t>
      </w:r>
      <w:r w:rsidR="008E3687">
        <w:t>ccess to a</w:t>
      </w:r>
      <w:r w:rsidR="000A12CB" w:rsidRPr="00EB6567">
        <w:t xml:space="preserve"> (non-legal) S</w:t>
      </w:r>
      <w:r w:rsidR="00B2173E">
        <w:t>enior Officer</w:t>
      </w:r>
      <w:r w:rsidR="000A12CB" w:rsidRPr="00EB6567">
        <w:t xml:space="preserve"> to assist with higher level of administrative tasks</w:t>
      </w:r>
      <w:r w:rsidR="006A0780" w:rsidRPr="00EB6567">
        <w:t xml:space="preserve"> such as developing the risk register. A </w:t>
      </w:r>
      <w:r w:rsidR="008C76C1">
        <w:t xml:space="preserve">legal officer </w:t>
      </w:r>
      <w:r w:rsidR="006A0780" w:rsidRPr="00EB6567">
        <w:t xml:space="preserve">of the level of </w:t>
      </w:r>
      <w:r w:rsidR="00B2173E">
        <w:t>S</w:t>
      </w:r>
      <w:r w:rsidR="006A0780" w:rsidRPr="00EB6567">
        <w:t xml:space="preserve">enior </w:t>
      </w:r>
      <w:r w:rsidR="00B2173E">
        <w:t>E</w:t>
      </w:r>
      <w:r w:rsidR="006A0780" w:rsidRPr="00EB6567">
        <w:t xml:space="preserve">xecutive was also provided </w:t>
      </w:r>
      <w:r w:rsidR="00821448" w:rsidRPr="00EB6567">
        <w:t xml:space="preserve">on a </w:t>
      </w:r>
      <w:proofErr w:type="gramStart"/>
      <w:r w:rsidR="00821448" w:rsidRPr="00EB6567">
        <w:t>short term</w:t>
      </w:r>
      <w:proofErr w:type="gramEnd"/>
      <w:r w:rsidR="00821448" w:rsidRPr="00EB6567">
        <w:t xml:space="preserve"> three</w:t>
      </w:r>
      <w:r w:rsidR="00B2173E">
        <w:t>-</w:t>
      </w:r>
      <w:r w:rsidR="00821448" w:rsidRPr="00EB6567">
        <w:t xml:space="preserve">week secondment </w:t>
      </w:r>
      <w:r w:rsidR="008E3687">
        <w:t xml:space="preserve">from late March to early April </w:t>
      </w:r>
      <w:r w:rsidR="008C76C1">
        <w:t>20</w:t>
      </w:r>
      <w:r w:rsidR="008B0A3D">
        <w:t xml:space="preserve">21 </w:t>
      </w:r>
      <w:r w:rsidR="00821448" w:rsidRPr="00EB6567">
        <w:t xml:space="preserve">by the Department of </w:t>
      </w:r>
      <w:r w:rsidR="00EB6567" w:rsidRPr="00EB6567">
        <w:rPr>
          <w:color w:val="212529"/>
          <w:shd w:val="clear" w:color="auto" w:fill="FFFFFF"/>
        </w:rPr>
        <w:t xml:space="preserve">State Development, Infrastructure, Local Government and Planning. </w:t>
      </w:r>
      <w:r w:rsidR="00B2173E">
        <w:rPr>
          <w:color w:val="212529"/>
          <w:shd w:val="clear" w:color="auto" w:fill="FFFFFF"/>
        </w:rPr>
        <w:t>The QI</w:t>
      </w:r>
      <w:r w:rsidR="00E84E7A">
        <w:rPr>
          <w:color w:val="212529"/>
          <w:shd w:val="clear" w:color="auto" w:fill="FFFFFF"/>
        </w:rPr>
        <w:t>C</w:t>
      </w:r>
      <w:r w:rsidR="00B2173E">
        <w:rPr>
          <w:color w:val="212529"/>
          <w:shd w:val="clear" w:color="auto" w:fill="FFFFFF"/>
        </w:rPr>
        <w:t xml:space="preserve"> wishes to thank those t</w:t>
      </w:r>
      <w:r w:rsidR="0089629C">
        <w:rPr>
          <w:color w:val="212529"/>
          <w:shd w:val="clear" w:color="auto" w:fill="FFFFFF"/>
        </w:rPr>
        <w:t>w</w:t>
      </w:r>
      <w:r w:rsidR="00B2173E">
        <w:rPr>
          <w:color w:val="212529"/>
          <w:shd w:val="clear" w:color="auto" w:fill="FFFFFF"/>
        </w:rPr>
        <w:t xml:space="preserve">o </w:t>
      </w:r>
      <w:r w:rsidR="00E84E7A">
        <w:rPr>
          <w:color w:val="212529"/>
          <w:shd w:val="clear" w:color="auto" w:fill="FFFFFF"/>
        </w:rPr>
        <w:t xml:space="preserve">persons for their </w:t>
      </w:r>
      <w:r w:rsidR="008E3687">
        <w:rPr>
          <w:color w:val="212529"/>
          <w:shd w:val="clear" w:color="auto" w:fill="FFFFFF"/>
        </w:rPr>
        <w:t xml:space="preserve">assistance. </w:t>
      </w:r>
    </w:p>
    <w:p w14:paraId="5B0D925A" w14:textId="77777777" w:rsidR="00CF2526" w:rsidRDefault="00CF2526" w:rsidP="00EB6567">
      <w:pPr>
        <w:pStyle w:val="Style1"/>
      </w:pPr>
    </w:p>
    <w:p w14:paraId="0ADAD705" w14:textId="64AC4897" w:rsidR="00597CAB" w:rsidRPr="00546AF1" w:rsidRDefault="000770B3" w:rsidP="00EB6567">
      <w:pPr>
        <w:pStyle w:val="Style1"/>
      </w:pPr>
      <w:r>
        <w:t>As above, t</w:t>
      </w:r>
      <w:r w:rsidRPr="00546AF1">
        <w:t xml:space="preserve">he number of available staff to assist the </w:t>
      </w:r>
      <w:r>
        <w:t>QIC</w:t>
      </w:r>
      <w:r w:rsidRPr="00546AF1">
        <w:t xml:space="preserve"> fluctuated between one and three staff members through the year.</w:t>
      </w:r>
      <w:r>
        <w:t xml:space="preserve"> </w:t>
      </w:r>
      <w:r w:rsidR="00000B35" w:rsidRPr="00546AF1">
        <w:t xml:space="preserve">Staff level changes </w:t>
      </w:r>
      <w:r w:rsidR="004052FA">
        <w:t xml:space="preserve">and capabilities </w:t>
      </w:r>
      <w:r w:rsidR="00C360E5" w:rsidRPr="00546AF1">
        <w:t xml:space="preserve">affected the ability of the </w:t>
      </w:r>
      <w:r w:rsidR="002B363D">
        <w:t xml:space="preserve">QIC </w:t>
      </w:r>
      <w:r w:rsidR="00C360E5" w:rsidRPr="00546AF1">
        <w:t xml:space="preserve">to fully discharge her </w:t>
      </w:r>
      <w:r w:rsidR="00AB42EC" w:rsidRPr="00546AF1">
        <w:t>functions and</w:t>
      </w:r>
      <w:r w:rsidR="00C360E5" w:rsidRPr="00546AF1">
        <w:t xml:space="preserve"> led to the introduction of interim service limits</w:t>
      </w:r>
      <w:r w:rsidR="001E4118">
        <w:t xml:space="preserve"> on two occasions</w:t>
      </w:r>
      <w:r w:rsidR="00C360E5" w:rsidRPr="00546AF1">
        <w:t xml:space="preserve">. </w:t>
      </w:r>
      <w:r w:rsidR="00571F9F" w:rsidRPr="00546AF1">
        <w:t xml:space="preserve">Further, </w:t>
      </w:r>
      <w:r w:rsidR="001E4118">
        <w:t xml:space="preserve">as </w:t>
      </w:r>
      <w:r w:rsidR="00571F9F" w:rsidRPr="00546AF1">
        <w:t xml:space="preserve">there were </w:t>
      </w:r>
      <w:proofErr w:type="gramStart"/>
      <w:r w:rsidR="00571F9F" w:rsidRPr="00546AF1">
        <w:t>a number of</w:t>
      </w:r>
      <w:proofErr w:type="gramEnd"/>
      <w:r w:rsidR="00571F9F" w:rsidRPr="00546AF1">
        <w:t xml:space="preserve"> the temporary </w:t>
      </w:r>
      <w:r w:rsidR="00A726EB">
        <w:t xml:space="preserve">staff </w:t>
      </w:r>
      <w:r w:rsidR="00571F9F" w:rsidRPr="00546AF1">
        <w:t>engagements</w:t>
      </w:r>
      <w:r w:rsidR="001E4118">
        <w:t xml:space="preserve">, </w:t>
      </w:r>
      <w:r w:rsidR="00571F9F" w:rsidRPr="00546AF1">
        <w:t xml:space="preserve">given the specialised work of the office, additional time and effort </w:t>
      </w:r>
      <w:r w:rsidR="001E4118">
        <w:t xml:space="preserve">was required </w:t>
      </w:r>
      <w:r w:rsidR="00571F9F" w:rsidRPr="00546AF1">
        <w:t xml:space="preserve">to train the staff </w:t>
      </w:r>
      <w:r w:rsidR="001E4118">
        <w:t>as this</w:t>
      </w:r>
      <w:r w:rsidR="0074398B">
        <w:t xml:space="preserve"> expectedly </w:t>
      </w:r>
      <w:r w:rsidR="001E4118">
        <w:t xml:space="preserve">led to delays. </w:t>
      </w:r>
      <w:r w:rsidR="004052FA">
        <w:t xml:space="preserve"> </w:t>
      </w:r>
    </w:p>
    <w:p w14:paraId="5013A2F2" w14:textId="77777777" w:rsidR="00E95E9A" w:rsidRPr="00546AF1" w:rsidRDefault="00E95E9A" w:rsidP="00EB6567">
      <w:pPr>
        <w:pStyle w:val="Style1"/>
      </w:pPr>
    </w:p>
    <w:p w14:paraId="70CC3CDA" w14:textId="0B8E8206" w:rsidR="004A173E" w:rsidRPr="00546AF1" w:rsidRDefault="004A173E" w:rsidP="00EB6567">
      <w:pPr>
        <w:pStyle w:val="Style1"/>
      </w:pPr>
      <w:r w:rsidRPr="00546AF1">
        <w:t xml:space="preserve">During the </w:t>
      </w:r>
      <w:r w:rsidR="00D82004">
        <w:t>QIC</w:t>
      </w:r>
      <w:r w:rsidRPr="00546AF1">
        <w:t xml:space="preserve">'s </w:t>
      </w:r>
      <w:r w:rsidR="00CF23A5" w:rsidRPr="00546AF1">
        <w:t xml:space="preserve">annual leave arrangements, </w:t>
      </w:r>
      <w:r w:rsidRPr="00546AF1">
        <w:t>the role was filled by the Acting Integrity Commissioner, Mr Mark Glen</w:t>
      </w:r>
      <w:r w:rsidR="00CF23A5" w:rsidRPr="00546AF1">
        <w:t xml:space="preserve"> from </w:t>
      </w:r>
      <w:r w:rsidR="00AB46AC" w:rsidRPr="00546AF1">
        <w:t>21 May 2021 to 4 June 2021, and again on 11 and 14 of June 2021.</w:t>
      </w:r>
    </w:p>
    <w:p w14:paraId="70359115" w14:textId="77777777" w:rsidR="004A173E" w:rsidRPr="00546AF1" w:rsidRDefault="004A173E" w:rsidP="00EB6567">
      <w:pPr>
        <w:pStyle w:val="Style1"/>
      </w:pPr>
    </w:p>
    <w:p w14:paraId="229E0FFC" w14:textId="31597EFA" w:rsidR="00C41BA6" w:rsidRPr="00546AF1" w:rsidRDefault="00757860" w:rsidP="00EB6567">
      <w:pPr>
        <w:pStyle w:val="Style1"/>
      </w:pPr>
      <w:r w:rsidRPr="00546AF1">
        <w:t>N</w:t>
      </w:r>
      <w:r w:rsidR="00C41BA6" w:rsidRPr="00546AF1">
        <w:t>o redundancy or retrenchment packages were paid during this period</w:t>
      </w:r>
      <w:r w:rsidRPr="00546AF1">
        <w:t xml:space="preserve"> and no </w:t>
      </w:r>
      <w:r w:rsidR="00C41BA6" w:rsidRPr="00546AF1">
        <w:t>employees received an early retirement package.</w:t>
      </w:r>
    </w:p>
    <w:p w14:paraId="2BDE966F" w14:textId="77777777" w:rsidR="00C41BA6" w:rsidRPr="00546AF1" w:rsidRDefault="00C41BA6" w:rsidP="004D05A9">
      <w:pPr>
        <w:pStyle w:val="BlockQuotation"/>
      </w:pPr>
    </w:p>
    <w:p w14:paraId="5615DD6A" w14:textId="0FA6015A" w:rsidR="00594533" w:rsidRPr="00DF7182" w:rsidRDefault="005F018C" w:rsidP="00F41A4B">
      <w:pPr>
        <w:pStyle w:val="Heading3"/>
      </w:pPr>
      <w:bookmarkStart w:id="109" w:name="_Toc83731457"/>
      <w:bookmarkStart w:id="110" w:name="_Toc83802785"/>
      <w:bookmarkStart w:id="111" w:name="_Toc83822871"/>
      <w:r w:rsidRPr="00DF7182">
        <w:t>Staff training and h</w:t>
      </w:r>
      <w:r w:rsidR="00594533" w:rsidRPr="00DF7182">
        <w:t>uman rights</w:t>
      </w:r>
      <w:bookmarkEnd w:id="109"/>
      <w:bookmarkEnd w:id="110"/>
      <w:bookmarkEnd w:id="111"/>
      <w:r w:rsidR="00594533" w:rsidRPr="00DF7182">
        <w:t xml:space="preserve"> </w:t>
      </w:r>
    </w:p>
    <w:p w14:paraId="2BD467AD" w14:textId="47608586" w:rsidR="00D73D83" w:rsidRPr="00546AF1" w:rsidRDefault="00CD525C" w:rsidP="00EB6567">
      <w:pPr>
        <w:pStyle w:val="Style1"/>
      </w:pPr>
      <w:r w:rsidRPr="00546AF1">
        <w:t>T</w:t>
      </w:r>
      <w:r w:rsidR="002B0504" w:rsidRPr="00546AF1">
        <w:t xml:space="preserve">he </w:t>
      </w:r>
      <w:r w:rsidRPr="00546AF1">
        <w:t>PSC</w:t>
      </w:r>
      <w:r w:rsidR="005F018C" w:rsidRPr="00546AF1">
        <w:t xml:space="preserve"> is the employer of staff who support the </w:t>
      </w:r>
      <w:r w:rsidR="008C27A4" w:rsidRPr="00546AF1">
        <w:t>QIC</w:t>
      </w:r>
      <w:r w:rsidR="00594545" w:rsidRPr="00546AF1">
        <w:t xml:space="preserve"> </w:t>
      </w:r>
      <w:r w:rsidR="005F018C" w:rsidRPr="00546AF1">
        <w:t xml:space="preserve">and </w:t>
      </w:r>
      <w:r w:rsidR="006D26E2" w:rsidRPr="00546AF1">
        <w:t xml:space="preserve">is </w:t>
      </w:r>
      <w:r w:rsidR="005F018C" w:rsidRPr="00546AF1">
        <w:t>responsible for the</w:t>
      </w:r>
      <w:r w:rsidR="00D73D83" w:rsidRPr="00546AF1">
        <w:t xml:space="preserve"> </w:t>
      </w:r>
      <w:r w:rsidR="005F018C" w:rsidRPr="00546AF1">
        <w:t>conduct</w:t>
      </w:r>
      <w:r w:rsidR="00C93FFC">
        <w:t xml:space="preserve">, supervision, training, </w:t>
      </w:r>
      <w:r w:rsidR="005F018C" w:rsidRPr="00546AF1">
        <w:t>and performance</w:t>
      </w:r>
      <w:r w:rsidR="00D73D83" w:rsidRPr="00546AF1">
        <w:t xml:space="preserve"> of the staff</w:t>
      </w:r>
      <w:r w:rsidR="005F018C" w:rsidRPr="00546AF1">
        <w:t>.</w:t>
      </w:r>
    </w:p>
    <w:p w14:paraId="4A51B70D" w14:textId="77777777" w:rsidR="00D73D83" w:rsidRPr="00546AF1" w:rsidRDefault="00D73D83" w:rsidP="00EB6567">
      <w:pPr>
        <w:pStyle w:val="Style1"/>
      </w:pPr>
    </w:p>
    <w:p w14:paraId="7846768E" w14:textId="16F74037" w:rsidR="006F5E0D" w:rsidRPr="00546AF1" w:rsidRDefault="00AB49BC" w:rsidP="00EB6567">
      <w:pPr>
        <w:pStyle w:val="Style1"/>
      </w:pPr>
      <w:r>
        <w:t>The PSC requires n</w:t>
      </w:r>
      <w:r w:rsidR="00D73D83" w:rsidRPr="00546AF1">
        <w:t xml:space="preserve">ew employees to complete the new starter induction program to ensure they are aware of expected obligations and workplace behaviours, and that their performance and behaviour must comply with the Code. </w:t>
      </w:r>
      <w:r>
        <w:t xml:space="preserve">These </w:t>
      </w:r>
      <w:r w:rsidR="00D73D83" w:rsidRPr="00546AF1">
        <w:t xml:space="preserve">expectations are incorporated </w:t>
      </w:r>
      <w:r>
        <w:t xml:space="preserve">by the PSC </w:t>
      </w:r>
      <w:r w:rsidR="00D73D83" w:rsidRPr="00546AF1">
        <w:t>into the ongoing cycle of employees’ performance and development</w:t>
      </w:r>
      <w:r w:rsidR="006F5E0D" w:rsidRPr="00546AF1">
        <w:t>.</w:t>
      </w:r>
    </w:p>
    <w:p w14:paraId="0AED0FE5" w14:textId="77777777" w:rsidR="006F5E0D" w:rsidRPr="00546AF1" w:rsidRDefault="006F5E0D" w:rsidP="00EB6567">
      <w:pPr>
        <w:pStyle w:val="Style1"/>
      </w:pPr>
    </w:p>
    <w:p w14:paraId="3FC3EFF2" w14:textId="77777777" w:rsidR="001137EA" w:rsidRPr="00546AF1" w:rsidRDefault="0025569D" w:rsidP="00EB6567">
      <w:pPr>
        <w:pStyle w:val="Style1"/>
        <w:rPr>
          <w:i/>
          <w:iCs/>
        </w:rPr>
      </w:pPr>
      <w:r w:rsidRPr="00546AF1">
        <w:t xml:space="preserve">Employees are required to adhere to the Code of Conduct (the Code), as required by the </w:t>
      </w:r>
      <w:r w:rsidRPr="00546AF1">
        <w:rPr>
          <w:i/>
          <w:iCs/>
        </w:rPr>
        <w:t>Public Sector Ethics Act 1994</w:t>
      </w:r>
      <w:r w:rsidR="002B0504" w:rsidRPr="00546AF1">
        <w:rPr>
          <w:i/>
          <w:iCs/>
        </w:rPr>
        <w:t xml:space="preserve">. </w:t>
      </w:r>
    </w:p>
    <w:p w14:paraId="4F42B1AA" w14:textId="77777777" w:rsidR="001137EA" w:rsidRPr="00546AF1" w:rsidRDefault="001137EA" w:rsidP="00EB6567">
      <w:pPr>
        <w:pStyle w:val="Style1"/>
      </w:pPr>
    </w:p>
    <w:p w14:paraId="2D1532D6" w14:textId="34383251" w:rsidR="0025569D" w:rsidRPr="00546AF1" w:rsidRDefault="0025569D" w:rsidP="00EB6567">
      <w:pPr>
        <w:pStyle w:val="Style1"/>
      </w:pPr>
      <w:r w:rsidRPr="00546AF1">
        <w:t>Further, the secrecy provision</w:t>
      </w:r>
      <w:r w:rsidR="002B0504" w:rsidRPr="00546AF1">
        <w:t>s</w:t>
      </w:r>
      <w:r w:rsidRPr="00546AF1">
        <w:t xml:space="preserve"> of the Act impose </w:t>
      </w:r>
      <w:proofErr w:type="gramStart"/>
      <w:r w:rsidRPr="00546AF1">
        <w:t>particular obligations</w:t>
      </w:r>
      <w:proofErr w:type="gramEnd"/>
      <w:r w:rsidRPr="00546AF1">
        <w:t xml:space="preserve"> on staff</w:t>
      </w:r>
      <w:r w:rsidR="002B0504" w:rsidRPr="00546AF1">
        <w:t xml:space="preserve"> </w:t>
      </w:r>
      <w:r w:rsidR="001137EA" w:rsidRPr="00546AF1">
        <w:t xml:space="preserve">and all others </w:t>
      </w:r>
      <w:r w:rsidR="002B0504" w:rsidRPr="00546AF1">
        <w:t xml:space="preserve">in relation to the protected </w:t>
      </w:r>
      <w:r w:rsidR="00583D50" w:rsidRPr="00546AF1">
        <w:t xml:space="preserve">advice </w:t>
      </w:r>
      <w:r w:rsidR="002B0504" w:rsidRPr="00546AF1">
        <w:t xml:space="preserve">materials of the office. </w:t>
      </w:r>
    </w:p>
    <w:p w14:paraId="71F0821A" w14:textId="32BC1CF4" w:rsidR="002B0504" w:rsidRPr="00546AF1" w:rsidRDefault="002B0504" w:rsidP="00EB6567">
      <w:pPr>
        <w:pStyle w:val="Style1"/>
      </w:pPr>
    </w:p>
    <w:p w14:paraId="67DCF004" w14:textId="26672E29" w:rsidR="002B0504" w:rsidRPr="00546AF1" w:rsidRDefault="002B0504" w:rsidP="00EB6567">
      <w:pPr>
        <w:pStyle w:val="Style1"/>
      </w:pPr>
      <w:r w:rsidRPr="00546AF1">
        <w:t xml:space="preserve">Employees can access the Act, the Code, and a range of supporting resources through the </w:t>
      </w:r>
      <w:r w:rsidR="00CD525C" w:rsidRPr="00546AF1">
        <w:t>PSC</w:t>
      </w:r>
      <w:r w:rsidR="003B7E96" w:rsidRPr="00546AF1">
        <w:t xml:space="preserve">’s </w:t>
      </w:r>
      <w:r w:rsidRPr="00546AF1">
        <w:t>intranet.</w:t>
      </w:r>
    </w:p>
    <w:p w14:paraId="21F6E478" w14:textId="77777777" w:rsidR="0025569D" w:rsidRPr="00546AF1" w:rsidRDefault="0025569D" w:rsidP="00EB6567">
      <w:pPr>
        <w:pStyle w:val="Style1"/>
      </w:pPr>
    </w:p>
    <w:p w14:paraId="1FDC007B" w14:textId="6F063869" w:rsidR="00594533" w:rsidRPr="00546AF1" w:rsidRDefault="007F3CF4" w:rsidP="0089629C">
      <w:pPr>
        <w:pStyle w:val="Style1"/>
        <w:keepNext/>
        <w:keepLines/>
      </w:pPr>
      <w:r>
        <w:lastRenderedPageBreak/>
        <w:t xml:space="preserve">The PSC required that staff undertake </w:t>
      </w:r>
      <w:r w:rsidR="00594533" w:rsidRPr="00546AF1">
        <w:t>online training to further understand:</w:t>
      </w:r>
    </w:p>
    <w:p w14:paraId="560B2169" w14:textId="77777777" w:rsidR="00594533" w:rsidRPr="00546AF1" w:rsidRDefault="00594533" w:rsidP="00EB6567">
      <w:pPr>
        <w:pStyle w:val="Style1"/>
        <w:numPr>
          <w:ilvl w:val="0"/>
          <w:numId w:val="38"/>
        </w:numPr>
      </w:pPr>
      <w:r w:rsidRPr="00546AF1">
        <w:t>the functions of the Queensland Human Rights Commission</w:t>
      </w:r>
    </w:p>
    <w:p w14:paraId="040D91DD" w14:textId="77777777" w:rsidR="00594533" w:rsidRPr="00546AF1" w:rsidRDefault="00594533" w:rsidP="00EB6567">
      <w:pPr>
        <w:pStyle w:val="Style1"/>
        <w:numPr>
          <w:ilvl w:val="0"/>
          <w:numId w:val="38"/>
        </w:numPr>
      </w:pPr>
      <w:r w:rsidRPr="00546AF1">
        <w:t>modern human rights law</w:t>
      </w:r>
    </w:p>
    <w:p w14:paraId="17A18129" w14:textId="77777777" w:rsidR="00594533" w:rsidRPr="00546AF1" w:rsidRDefault="00594533" w:rsidP="00EB6567">
      <w:pPr>
        <w:pStyle w:val="Style1"/>
        <w:numPr>
          <w:ilvl w:val="0"/>
          <w:numId w:val="38"/>
        </w:numPr>
      </w:pPr>
      <w:r w:rsidRPr="00546AF1">
        <w:t>human rights law in Queensland</w:t>
      </w:r>
    </w:p>
    <w:p w14:paraId="29E4CC60" w14:textId="77777777" w:rsidR="00594533" w:rsidRPr="00546AF1" w:rsidRDefault="00594533" w:rsidP="00EB6567">
      <w:pPr>
        <w:pStyle w:val="Style1"/>
        <w:numPr>
          <w:ilvl w:val="0"/>
          <w:numId w:val="38"/>
        </w:numPr>
      </w:pPr>
      <w:r w:rsidRPr="00546AF1">
        <w:t xml:space="preserve">responsibilities of public entities, courts, </w:t>
      </w:r>
      <w:proofErr w:type="gramStart"/>
      <w:r w:rsidRPr="00546AF1">
        <w:t>tribunals</w:t>
      </w:r>
      <w:proofErr w:type="gramEnd"/>
      <w:r w:rsidRPr="00546AF1">
        <w:t xml:space="preserve"> and Parliament, and </w:t>
      </w:r>
    </w:p>
    <w:p w14:paraId="4981477B" w14:textId="77777777" w:rsidR="00594533" w:rsidRPr="00546AF1" w:rsidRDefault="00594533" w:rsidP="00EB6567">
      <w:pPr>
        <w:pStyle w:val="Style1"/>
        <w:numPr>
          <w:ilvl w:val="0"/>
          <w:numId w:val="38"/>
        </w:numPr>
      </w:pPr>
      <w:r w:rsidRPr="00546AF1">
        <w:t>human rights dispute resolution and compatibility with human rights.</w:t>
      </w:r>
    </w:p>
    <w:p w14:paraId="7FA013E5" w14:textId="77777777" w:rsidR="00594533" w:rsidRPr="00546AF1" w:rsidRDefault="00594533" w:rsidP="00594533">
      <w:pPr>
        <w:rPr>
          <w:rFonts w:ascii="Times New Roman" w:hAnsi="Times New Roman"/>
          <w:szCs w:val="20"/>
        </w:rPr>
      </w:pPr>
    </w:p>
    <w:p w14:paraId="3B282CB5" w14:textId="77777777" w:rsidR="00594533" w:rsidRPr="00546AF1" w:rsidRDefault="00594533" w:rsidP="00F41A4B">
      <w:pPr>
        <w:pStyle w:val="Heading3"/>
      </w:pPr>
      <w:r w:rsidRPr="00546AF1">
        <w:t>Risk management</w:t>
      </w:r>
    </w:p>
    <w:p w14:paraId="0F47E09E" w14:textId="48E35ABB" w:rsidR="00594533" w:rsidRPr="00546AF1" w:rsidRDefault="003B7E96" w:rsidP="00EB6567">
      <w:pPr>
        <w:pStyle w:val="Style1"/>
      </w:pPr>
      <w:r w:rsidRPr="00546AF1">
        <w:t xml:space="preserve">The </w:t>
      </w:r>
      <w:r w:rsidR="007F3B86" w:rsidRPr="00546AF1">
        <w:t xml:space="preserve">Commission Chief Executive of the </w:t>
      </w:r>
      <w:r w:rsidRPr="00546AF1">
        <w:t xml:space="preserve">PSC </w:t>
      </w:r>
      <w:r w:rsidR="00C47068" w:rsidRPr="00546AF1">
        <w:t xml:space="preserve">is the accountable authority under the </w:t>
      </w:r>
      <w:r w:rsidR="00594533" w:rsidRPr="00546AF1">
        <w:rPr>
          <w:i/>
          <w:iCs/>
        </w:rPr>
        <w:t>Financial Accountability Act 2009</w:t>
      </w:r>
      <w:r w:rsidR="00560D8F">
        <w:t xml:space="preserve"> </w:t>
      </w:r>
      <w:r w:rsidR="00BD06D7">
        <w:t xml:space="preserve">for </w:t>
      </w:r>
      <w:r w:rsidR="00560D8F" w:rsidRPr="00546AF1">
        <w:t xml:space="preserve">the financial, operational, and administrative performance of the office supporting the </w:t>
      </w:r>
      <w:r w:rsidR="00560D8F">
        <w:t>QIC</w:t>
      </w:r>
      <w:r w:rsidR="00BD06D7">
        <w:t>.</w:t>
      </w:r>
      <w:r w:rsidR="00560D8F" w:rsidRPr="00546AF1">
        <w:t xml:space="preserve"> </w:t>
      </w:r>
      <w:r w:rsidR="005209B1" w:rsidRPr="00546AF1">
        <w:t>H</w:t>
      </w:r>
      <w:r w:rsidR="00594533" w:rsidRPr="00546AF1">
        <w:t>owever, the ‘office’ is covered by the Department of the Premier and Cabinet’s Risk management framework—oversighted by an Audit and Risk Management Committee—which aligns with the Australian Standard AS/NZ ISO 31000:2018 on risk management principles and guidelines and includes appropriate governance arrangements and risk reporting and analysis.</w:t>
      </w:r>
    </w:p>
    <w:p w14:paraId="5380BE1A" w14:textId="77777777" w:rsidR="00594533" w:rsidRPr="00546AF1" w:rsidRDefault="00594533" w:rsidP="00EB6567">
      <w:pPr>
        <w:pStyle w:val="Style1"/>
      </w:pPr>
    </w:p>
    <w:p w14:paraId="0D09C7D6" w14:textId="6DB68FED" w:rsidR="00594533" w:rsidRPr="00546AF1" w:rsidRDefault="00594533" w:rsidP="00EB6567">
      <w:pPr>
        <w:pStyle w:val="Style1"/>
      </w:pPr>
      <w:r w:rsidRPr="00546AF1">
        <w:t xml:space="preserve">A </w:t>
      </w:r>
      <w:r w:rsidR="007F3B86" w:rsidRPr="00546AF1">
        <w:t>‘</w:t>
      </w:r>
      <w:r w:rsidRPr="00546AF1">
        <w:t>Risk Treatment Plan</w:t>
      </w:r>
      <w:r w:rsidR="007F3B86" w:rsidRPr="00546AF1">
        <w:t>’</w:t>
      </w:r>
      <w:r w:rsidRPr="00546AF1">
        <w:t xml:space="preserve"> was completed for 2020</w:t>
      </w:r>
      <w:r w:rsidR="00047606">
        <w:noBreakHyphen/>
      </w:r>
      <w:r w:rsidRPr="00546AF1">
        <w:t xml:space="preserve">21 encompassing the identification of </w:t>
      </w:r>
      <w:r w:rsidR="003E7E08" w:rsidRPr="00546AF1">
        <w:t xml:space="preserve">some </w:t>
      </w:r>
      <w:r w:rsidRPr="00546AF1">
        <w:t>strategic and operational risks, and the mitigating actions to address those risks.</w:t>
      </w:r>
    </w:p>
    <w:p w14:paraId="4B440ECB" w14:textId="77777777" w:rsidR="00594533" w:rsidRPr="00546AF1" w:rsidRDefault="00594533" w:rsidP="00594533">
      <w:pPr>
        <w:rPr>
          <w:rFonts w:ascii="Times New Roman" w:hAnsi="Times New Roman"/>
          <w:szCs w:val="20"/>
        </w:rPr>
      </w:pPr>
    </w:p>
    <w:p w14:paraId="0CF8687A" w14:textId="77777777" w:rsidR="00594533" w:rsidRPr="00546AF1" w:rsidRDefault="00594533" w:rsidP="00F41A4B">
      <w:pPr>
        <w:pStyle w:val="Heading3"/>
      </w:pPr>
      <w:r w:rsidRPr="00546AF1">
        <w:t>Information systems and recordkeeping</w:t>
      </w:r>
    </w:p>
    <w:p w14:paraId="425840A8" w14:textId="4395902A" w:rsidR="00F26503" w:rsidRDefault="00594533" w:rsidP="00EB6567">
      <w:pPr>
        <w:pStyle w:val="Style1"/>
      </w:pPr>
      <w:r w:rsidRPr="00546AF1">
        <w:t xml:space="preserve">The staff use information systems for corporate functions via existing administrative arrangements with the </w:t>
      </w:r>
      <w:r w:rsidR="00DA1B93" w:rsidRPr="00546AF1">
        <w:t>PSC.</w:t>
      </w:r>
    </w:p>
    <w:p w14:paraId="1DCE0F45" w14:textId="77777777" w:rsidR="00F26503" w:rsidRDefault="00F26503" w:rsidP="00EB6567">
      <w:pPr>
        <w:pStyle w:val="Style1"/>
      </w:pPr>
    </w:p>
    <w:p w14:paraId="30CCC4EC" w14:textId="4EB556C1" w:rsidR="00594533" w:rsidRPr="00546AF1" w:rsidRDefault="007F3B96" w:rsidP="00EB6567">
      <w:pPr>
        <w:pStyle w:val="Style1"/>
      </w:pPr>
      <w:r>
        <w:t xml:space="preserve">The QIC uses </w:t>
      </w:r>
      <w:r w:rsidRPr="00546AF1">
        <w:t>information systems for corporate functions via existing administrative arrangements with the</w:t>
      </w:r>
      <w:r>
        <w:t xml:space="preserve"> DPC. </w:t>
      </w:r>
    </w:p>
    <w:p w14:paraId="3AAB58D8" w14:textId="77777777" w:rsidR="00594533" w:rsidRPr="00546AF1" w:rsidRDefault="00594533" w:rsidP="00EB6567">
      <w:pPr>
        <w:pStyle w:val="Style1"/>
      </w:pPr>
    </w:p>
    <w:p w14:paraId="5A7C1868" w14:textId="6BFFB7CB" w:rsidR="00594533" w:rsidRDefault="00594533" w:rsidP="00EB6567">
      <w:pPr>
        <w:pStyle w:val="Style1"/>
      </w:pPr>
      <w:r w:rsidRPr="00546AF1">
        <w:t xml:space="preserve">The recordkeeping practices of the </w:t>
      </w:r>
      <w:r w:rsidR="007F3B96">
        <w:t xml:space="preserve">QIC </w:t>
      </w:r>
      <w:r w:rsidR="00DA1B93" w:rsidRPr="00546AF1">
        <w:t xml:space="preserve">and </w:t>
      </w:r>
      <w:r w:rsidRPr="00546AF1">
        <w:t xml:space="preserve">staff must adhere to Information Standard (Recordkeeping), Information Standard (Retention and Disposal of Public Records) and the </w:t>
      </w:r>
      <w:r w:rsidRPr="00546AF1">
        <w:rPr>
          <w:i/>
          <w:iCs/>
        </w:rPr>
        <w:t>Public Records Act 2002</w:t>
      </w:r>
      <w:r w:rsidRPr="00546AF1">
        <w:t xml:space="preserve">. HP Record Manager </w:t>
      </w:r>
      <w:r w:rsidR="00FF3C4E" w:rsidRPr="00546AF1">
        <w:t xml:space="preserve">is used </w:t>
      </w:r>
      <w:r w:rsidRPr="00546AF1">
        <w:t xml:space="preserve">to manage electronic and physical documents, and </w:t>
      </w:r>
      <w:r w:rsidR="00FF3C4E" w:rsidRPr="00546AF1">
        <w:t xml:space="preserve">there are </w:t>
      </w:r>
      <w:r w:rsidRPr="00546AF1">
        <w:t xml:space="preserve">policies and processes in place for recordkeeping, email management, </w:t>
      </w:r>
      <w:proofErr w:type="gramStart"/>
      <w:r w:rsidRPr="00546AF1">
        <w:t>retention</w:t>
      </w:r>
      <w:proofErr w:type="gramEnd"/>
      <w:r w:rsidRPr="00546AF1">
        <w:t xml:space="preserve"> and disposal of records, managing information on shared network drives and information security.</w:t>
      </w:r>
    </w:p>
    <w:p w14:paraId="4C3AD7D0" w14:textId="6A19B747" w:rsidR="00AB0769" w:rsidRDefault="00AB0769" w:rsidP="00EB6567">
      <w:pPr>
        <w:pStyle w:val="Style1"/>
      </w:pPr>
    </w:p>
    <w:p w14:paraId="02E61ADC" w14:textId="65F4EFFF" w:rsidR="007B726E" w:rsidRDefault="00A0638C" w:rsidP="00EB6567">
      <w:pPr>
        <w:pStyle w:val="Style1"/>
      </w:pPr>
      <w:r>
        <w:t xml:space="preserve">To rectify </w:t>
      </w:r>
      <w:r w:rsidR="0011111E">
        <w:t xml:space="preserve">outstanding </w:t>
      </w:r>
      <w:r w:rsidR="00AB0769">
        <w:t xml:space="preserve">legacy filing issues, </w:t>
      </w:r>
      <w:r>
        <w:t xml:space="preserve">an experienced </w:t>
      </w:r>
      <w:r w:rsidR="00710D72">
        <w:t>Information Support Officer</w:t>
      </w:r>
      <w:r>
        <w:t xml:space="preserve"> </w:t>
      </w:r>
      <w:r w:rsidR="00F006A1">
        <w:t>was</w:t>
      </w:r>
      <w:r>
        <w:t xml:space="preserve"> provided by </w:t>
      </w:r>
      <w:r w:rsidR="00710D72">
        <w:t xml:space="preserve">the </w:t>
      </w:r>
      <w:r>
        <w:t>DPC</w:t>
      </w:r>
      <w:r w:rsidR="0011111E">
        <w:t>,</w:t>
      </w:r>
      <w:r>
        <w:t xml:space="preserve"> on a part</w:t>
      </w:r>
      <w:r w:rsidR="00047606">
        <w:noBreakHyphen/>
      </w:r>
      <w:r>
        <w:t>time basis</w:t>
      </w:r>
      <w:r w:rsidR="0011111E">
        <w:t>,</w:t>
      </w:r>
      <w:r>
        <w:t xml:space="preserve"> to undertake </w:t>
      </w:r>
      <w:r w:rsidR="0011111E">
        <w:t>filing</w:t>
      </w:r>
      <w:r w:rsidR="005B09DB">
        <w:t xml:space="preserve"> in accordance with the </w:t>
      </w:r>
      <w:r w:rsidR="00D35E44" w:rsidRPr="00546AF1">
        <w:t>Records Retention and Disposal Schedule</w:t>
      </w:r>
      <w:r w:rsidR="007B726E">
        <w:t xml:space="preserve"> (see below)</w:t>
      </w:r>
      <w:r w:rsidR="0011111E">
        <w:t xml:space="preserve">. The QIC gratefully acknowledge assistance with this </w:t>
      </w:r>
      <w:r w:rsidR="00710D72">
        <w:t>important</w:t>
      </w:r>
      <w:r w:rsidR="0011111E">
        <w:t xml:space="preserve"> body of work.</w:t>
      </w:r>
      <w:r w:rsidR="001D5B1D">
        <w:t xml:space="preserve"> </w:t>
      </w:r>
    </w:p>
    <w:p w14:paraId="5283E61D" w14:textId="77777777" w:rsidR="007B726E" w:rsidRDefault="007B726E" w:rsidP="00EB6567">
      <w:pPr>
        <w:pStyle w:val="Style1"/>
      </w:pPr>
    </w:p>
    <w:p w14:paraId="69171C6A" w14:textId="50A12E8E" w:rsidR="00A0638C" w:rsidRDefault="001D5B1D" w:rsidP="00EB6567">
      <w:pPr>
        <w:pStyle w:val="Style1"/>
      </w:pPr>
      <w:r>
        <w:t xml:space="preserve">Further, the forensic reconciliation of a small volume of protected material is yet to be undertaken. This body of work will occur in the 2021-22 financial year. </w:t>
      </w:r>
    </w:p>
    <w:p w14:paraId="65C121A0" w14:textId="77777777" w:rsidR="00594533" w:rsidRPr="00546AF1" w:rsidRDefault="00594533" w:rsidP="00EB6567">
      <w:pPr>
        <w:pStyle w:val="Style1"/>
      </w:pPr>
    </w:p>
    <w:p w14:paraId="3D33DAC8" w14:textId="77777777" w:rsidR="00594533" w:rsidRPr="00546AF1" w:rsidRDefault="00594533" w:rsidP="00EB6567">
      <w:pPr>
        <w:pStyle w:val="Style1"/>
      </w:pPr>
      <w:r w:rsidRPr="00546AF1">
        <w:t xml:space="preserve">A copy of the Records Retention and Disposal Schedule (QDAN 629 v.3) developed for the Queensland Integrity Commissioner, and approved by the Queensland State Archivist on 22 November 2013, is available on the Queensland State Archives website at: </w:t>
      </w:r>
      <w:hyperlink r:id="rId50" w:history="1">
        <w:r w:rsidRPr="00546AF1">
          <w:rPr>
            <w:rStyle w:val="Hyperlink"/>
          </w:rPr>
          <w:t>www.archives.qld.gov.au</w:t>
        </w:r>
      </w:hyperlink>
      <w:r w:rsidRPr="00546AF1">
        <w:t>.</w:t>
      </w:r>
    </w:p>
    <w:p w14:paraId="23F2EC3B" w14:textId="77777777" w:rsidR="00594533" w:rsidRPr="00546AF1" w:rsidRDefault="00594533" w:rsidP="00594533">
      <w:pPr>
        <w:rPr>
          <w:rFonts w:ascii="Times New Roman" w:hAnsi="Times New Roman"/>
          <w:szCs w:val="20"/>
        </w:rPr>
      </w:pPr>
    </w:p>
    <w:p w14:paraId="201EA3F8" w14:textId="77777777" w:rsidR="00710D72" w:rsidRDefault="00150BFE" w:rsidP="00EB6567">
      <w:pPr>
        <w:pStyle w:val="Style1"/>
      </w:pPr>
      <w:r w:rsidRPr="00546AF1">
        <w:t xml:space="preserve">This Annual Report and previous reports from the </w:t>
      </w:r>
      <w:r w:rsidR="008C27A4" w:rsidRPr="00546AF1">
        <w:t>QIC</w:t>
      </w:r>
      <w:r w:rsidR="00F92744" w:rsidRPr="00546AF1">
        <w:t xml:space="preserve"> </w:t>
      </w:r>
      <w:r w:rsidRPr="00546AF1">
        <w:t>are available online at:</w:t>
      </w:r>
    </w:p>
    <w:p w14:paraId="48160BC7" w14:textId="72487ACD" w:rsidR="00150BFE" w:rsidRPr="00546AF1" w:rsidRDefault="00B87461" w:rsidP="00EB6567">
      <w:pPr>
        <w:pStyle w:val="Style1"/>
      </w:pPr>
      <w:hyperlink r:id="rId51" w:history="1">
        <w:r w:rsidR="00710D72" w:rsidRPr="00AC446D">
          <w:rPr>
            <w:rStyle w:val="Hyperlink"/>
          </w:rPr>
          <w:t>www.integrity.qld.gov.au/publications/annual-reports.aspx</w:t>
        </w:r>
      </w:hyperlink>
      <w:r w:rsidR="00150BFE" w:rsidRPr="00546AF1">
        <w:t xml:space="preserve">. </w:t>
      </w:r>
    </w:p>
    <w:p w14:paraId="10CEAD9C" w14:textId="77777777" w:rsidR="00150BFE" w:rsidRPr="00546AF1" w:rsidRDefault="00150BFE" w:rsidP="00150BFE">
      <w:pPr>
        <w:widowControl w:val="0"/>
        <w:rPr>
          <w:rFonts w:ascii="Times New Roman" w:hAnsi="Times New Roman"/>
          <w:sz w:val="22"/>
          <w:szCs w:val="22"/>
          <w:lang w:val="en-US"/>
        </w:rPr>
      </w:pPr>
      <w:r w:rsidRPr="00546AF1">
        <w:rPr>
          <w:rFonts w:ascii="Times New Roman" w:hAnsi="Times New Roman"/>
        </w:rPr>
        <w:t> </w:t>
      </w:r>
    </w:p>
    <w:p w14:paraId="1C80346C" w14:textId="77777777" w:rsidR="002E0514" w:rsidRPr="00546AF1" w:rsidRDefault="002E0514" w:rsidP="00EB6567">
      <w:pPr>
        <w:pStyle w:val="Style1"/>
      </w:pPr>
    </w:p>
    <w:p w14:paraId="505E4DC6" w14:textId="5F1872D9" w:rsidR="00784044" w:rsidRPr="00546AF1" w:rsidRDefault="00784044" w:rsidP="00BE4B1E">
      <w:pPr>
        <w:rPr>
          <w:rFonts w:ascii="Times New Roman" w:hAnsi="Times New Roman"/>
          <w:w w:val="110"/>
        </w:rPr>
      </w:pPr>
      <w:r w:rsidRPr="00546AF1">
        <w:rPr>
          <w:rFonts w:ascii="Times New Roman" w:hAnsi="Times New Roman"/>
          <w:w w:val="110"/>
        </w:rPr>
        <w:br w:type="page"/>
      </w:r>
    </w:p>
    <w:p w14:paraId="633DB7BB" w14:textId="1637A688" w:rsidR="001B69D9" w:rsidRDefault="00691A7B" w:rsidP="007C149C">
      <w:pPr>
        <w:pStyle w:val="Heading2"/>
        <w:rPr>
          <w:w w:val="110"/>
        </w:rPr>
      </w:pPr>
      <w:bookmarkStart w:id="112" w:name="_Toc83044392"/>
      <w:bookmarkStart w:id="113" w:name="_Toc83731458"/>
      <w:bookmarkStart w:id="114" w:name="_Toc83822872"/>
      <w:r>
        <w:rPr>
          <w:w w:val="110"/>
        </w:rPr>
        <w:lastRenderedPageBreak/>
        <w:t xml:space="preserve">12. </w:t>
      </w:r>
      <w:r w:rsidR="00555DD5" w:rsidRPr="00546AF1">
        <w:rPr>
          <w:w w:val="110"/>
        </w:rPr>
        <w:t>Financial Statement</w:t>
      </w:r>
      <w:bookmarkEnd w:id="112"/>
      <w:bookmarkEnd w:id="113"/>
      <w:bookmarkEnd w:id="114"/>
    </w:p>
    <w:p w14:paraId="6FFC5C96" w14:textId="3F48247F" w:rsidR="0047721D" w:rsidRDefault="0047721D" w:rsidP="0047721D">
      <w:pPr>
        <w:pStyle w:val="BodyText"/>
      </w:pPr>
    </w:p>
    <w:tbl>
      <w:tblPr>
        <w:tblW w:w="9005" w:type="dxa"/>
        <w:tblLook w:val="04A0" w:firstRow="1" w:lastRow="0" w:firstColumn="1" w:lastColumn="0" w:noHBand="0" w:noVBand="1"/>
      </w:tblPr>
      <w:tblGrid>
        <w:gridCol w:w="3969"/>
        <w:gridCol w:w="993"/>
        <w:gridCol w:w="992"/>
        <w:gridCol w:w="992"/>
        <w:gridCol w:w="1067"/>
        <w:gridCol w:w="918"/>
        <w:gridCol w:w="74"/>
      </w:tblGrid>
      <w:tr w:rsidR="00C0691D" w:rsidRPr="00847E24" w14:paraId="47A4678F" w14:textId="77777777" w:rsidTr="00C0691D">
        <w:trPr>
          <w:trHeight w:val="285"/>
        </w:trPr>
        <w:tc>
          <w:tcPr>
            <w:tcW w:w="3969" w:type="dxa"/>
            <w:tcBorders>
              <w:top w:val="nil"/>
              <w:left w:val="nil"/>
              <w:bottom w:val="nil"/>
              <w:right w:val="nil"/>
            </w:tcBorders>
            <w:shd w:val="clear" w:color="000000" w:fill="FFFFFF"/>
            <w:noWrap/>
            <w:vAlign w:val="bottom"/>
            <w:hideMark/>
          </w:tcPr>
          <w:p w14:paraId="5CA5120A" w14:textId="77777777" w:rsidR="00C0691D" w:rsidRPr="00847E24" w:rsidRDefault="00C0691D" w:rsidP="0010645C">
            <w:pPr>
              <w:rPr>
                <w:rFonts w:ascii="Arial" w:hAnsi="Arial" w:cs="Arial"/>
                <w:b/>
                <w:bCs/>
                <w:szCs w:val="20"/>
              </w:rPr>
            </w:pPr>
            <w:r w:rsidRPr="00847E24">
              <w:rPr>
                <w:rFonts w:ascii="Arial" w:hAnsi="Arial" w:cs="Arial"/>
                <w:b/>
                <w:bCs/>
                <w:szCs w:val="20"/>
              </w:rPr>
              <w:t>Queensland Integrity Commissioner</w:t>
            </w:r>
          </w:p>
        </w:tc>
        <w:tc>
          <w:tcPr>
            <w:tcW w:w="993" w:type="dxa"/>
            <w:tcBorders>
              <w:top w:val="nil"/>
              <w:left w:val="nil"/>
              <w:bottom w:val="nil"/>
              <w:right w:val="nil"/>
            </w:tcBorders>
            <w:shd w:val="clear" w:color="000000" w:fill="FFFFFF"/>
            <w:noWrap/>
            <w:vAlign w:val="bottom"/>
            <w:hideMark/>
          </w:tcPr>
          <w:p w14:paraId="43B1F0A9"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tcBorders>
              <w:top w:val="nil"/>
              <w:left w:val="nil"/>
              <w:bottom w:val="nil"/>
              <w:right w:val="nil"/>
            </w:tcBorders>
            <w:shd w:val="clear" w:color="000000" w:fill="FFFFFF"/>
            <w:noWrap/>
            <w:vAlign w:val="bottom"/>
            <w:hideMark/>
          </w:tcPr>
          <w:p w14:paraId="1C6A53DF"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tcBorders>
              <w:top w:val="nil"/>
              <w:left w:val="nil"/>
              <w:bottom w:val="nil"/>
              <w:right w:val="nil"/>
            </w:tcBorders>
            <w:shd w:val="clear" w:color="000000" w:fill="FFFFFF"/>
            <w:noWrap/>
            <w:vAlign w:val="bottom"/>
            <w:hideMark/>
          </w:tcPr>
          <w:p w14:paraId="362048A3" w14:textId="77777777" w:rsidR="00C0691D" w:rsidRPr="00847E24" w:rsidRDefault="00C0691D" w:rsidP="0010645C">
            <w:pPr>
              <w:rPr>
                <w:rFonts w:ascii="Arial" w:hAnsi="Arial" w:cs="Arial"/>
                <w:szCs w:val="20"/>
              </w:rPr>
            </w:pPr>
            <w:r w:rsidRPr="00847E24">
              <w:rPr>
                <w:rFonts w:ascii="Arial" w:hAnsi="Arial" w:cs="Arial"/>
                <w:szCs w:val="20"/>
              </w:rPr>
              <w:t> </w:t>
            </w:r>
          </w:p>
        </w:tc>
        <w:tc>
          <w:tcPr>
            <w:tcW w:w="1067" w:type="dxa"/>
            <w:tcBorders>
              <w:top w:val="nil"/>
              <w:left w:val="nil"/>
              <w:bottom w:val="nil"/>
              <w:right w:val="nil"/>
            </w:tcBorders>
            <w:shd w:val="clear" w:color="000000" w:fill="FFFFFF"/>
            <w:noWrap/>
            <w:vAlign w:val="bottom"/>
            <w:hideMark/>
          </w:tcPr>
          <w:p w14:paraId="0F8F58A7"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gridSpan w:val="2"/>
            <w:tcBorders>
              <w:top w:val="nil"/>
              <w:left w:val="nil"/>
              <w:bottom w:val="nil"/>
              <w:right w:val="nil"/>
            </w:tcBorders>
            <w:shd w:val="clear" w:color="000000" w:fill="FFFFFF"/>
            <w:noWrap/>
            <w:vAlign w:val="bottom"/>
            <w:hideMark/>
          </w:tcPr>
          <w:p w14:paraId="0948C46E" w14:textId="77777777" w:rsidR="00C0691D" w:rsidRPr="00847E24" w:rsidRDefault="00C0691D" w:rsidP="0010645C">
            <w:pPr>
              <w:jc w:val="center"/>
              <w:rPr>
                <w:rFonts w:ascii="Arial" w:hAnsi="Arial" w:cs="Arial"/>
                <w:szCs w:val="20"/>
              </w:rPr>
            </w:pPr>
            <w:r w:rsidRPr="00847E24">
              <w:rPr>
                <w:rFonts w:ascii="Arial" w:hAnsi="Arial" w:cs="Arial"/>
                <w:szCs w:val="20"/>
              </w:rPr>
              <w:t> </w:t>
            </w:r>
          </w:p>
        </w:tc>
      </w:tr>
      <w:tr w:rsidR="00C0691D" w:rsidRPr="00847E24" w14:paraId="3D7A0C5D" w14:textId="77777777" w:rsidTr="00C0691D">
        <w:trPr>
          <w:trHeight w:val="285"/>
        </w:trPr>
        <w:tc>
          <w:tcPr>
            <w:tcW w:w="3969" w:type="dxa"/>
            <w:tcBorders>
              <w:top w:val="nil"/>
              <w:left w:val="nil"/>
              <w:bottom w:val="nil"/>
              <w:right w:val="nil"/>
            </w:tcBorders>
            <w:shd w:val="clear" w:color="000000" w:fill="FFFFFF"/>
            <w:noWrap/>
            <w:vAlign w:val="bottom"/>
            <w:hideMark/>
          </w:tcPr>
          <w:p w14:paraId="0925AA40" w14:textId="77777777" w:rsidR="00C0691D" w:rsidRPr="00847E24" w:rsidRDefault="00C0691D" w:rsidP="0010645C">
            <w:pPr>
              <w:rPr>
                <w:rFonts w:ascii="Arial" w:hAnsi="Arial" w:cs="Arial"/>
                <w:b/>
                <w:bCs/>
                <w:szCs w:val="20"/>
              </w:rPr>
            </w:pPr>
            <w:r w:rsidRPr="00847E24">
              <w:rPr>
                <w:rFonts w:ascii="Arial" w:hAnsi="Arial" w:cs="Arial"/>
                <w:b/>
                <w:bCs/>
                <w:szCs w:val="20"/>
              </w:rPr>
              <w:t>Statement of Comprehensive Income</w:t>
            </w:r>
          </w:p>
        </w:tc>
        <w:tc>
          <w:tcPr>
            <w:tcW w:w="993" w:type="dxa"/>
            <w:tcBorders>
              <w:top w:val="nil"/>
              <w:left w:val="nil"/>
              <w:bottom w:val="nil"/>
              <w:right w:val="nil"/>
            </w:tcBorders>
            <w:shd w:val="clear" w:color="000000" w:fill="FFFFFF"/>
            <w:noWrap/>
            <w:vAlign w:val="bottom"/>
            <w:hideMark/>
          </w:tcPr>
          <w:p w14:paraId="05010FCD"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tcBorders>
              <w:top w:val="nil"/>
              <w:left w:val="nil"/>
              <w:bottom w:val="nil"/>
              <w:right w:val="nil"/>
            </w:tcBorders>
            <w:shd w:val="clear" w:color="000000" w:fill="FFFFFF"/>
            <w:noWrap/>
            <w:vAlign w:val="bottom"/>
            <w:hideMark/>
          </w:tcPr>
          <w:p w14:paraId="14C7E7F1"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tcBorders>
              <w:top w:val="nil"/>
              <w:left w:val="nil"/>
              <w:bottom w:val="nil"/>
              <w:right w:val="nil"/>
            </w:tcBorders>
            <w:shd w:val="clear" w:color="000000" w:fill="FFFFFF"/>
            <w:noWrap/>
            <w:vAlign w:val="bottom"/>
            <w:hideMark/>
          </w:tcPr>
          <w:p w14:paraId="5419D26E" w14:textId="77777777" w:rsidR="00C0691D" w:rsidRPr="00847E24" w:rsidRDefault="00C0691D" w:rsidP="0010645C">
            <w:pPr>
              <w:rPr>
                <w:rFonts w:ascii="Arial" w:hAnsi="Arial" w:cs="Arial"/>
                <w:szCs w:val="20"/>
              </w:rPr>
            </w:pPr>
            <w:r w:rsidRPr="00847E24">
              <w:rPr>
                <w:rFonts w:ascii="Arial" w:hAnsi="Arial" w:cs="Arial"/>
                <w:szCs w:val="20"/>
              </w:rPr>
              <w:t> </w:t>
            </w:r>
          </w:p>
        </w:tc>
        <w:tc>
          <w:tcPr>
            <w:tcW w:w="1067" w:type="dxa"/>
            <w:tcBorders>
              <w:top w:val="nil"/>
              <w:left w:val="nil"/>
              <w:bottom w:val="nil"/>
              <w:right w:val="nil"/>
            </w:tcBorders>
            <w:shd w:val="clear" w:color="000000" w:fill="FFFFFF"/>
            <w:noWrap/>
            <w:vAlign w:val="bottom"/>
            <w:hideMark/>
          </w:tcPr>
          <w:p w14:paraId="7DAAA38B"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gridSpan w:val="2"/>
            <w:tcBorders>
              <w:top w:val="nil"/>
              <w:left w:val="nil"/>
              <w:bottom w:val="nil"/>
              <w:right w:val="nil"/>
            </w:tcBorders>
            <w:shd w:val="clear" w:color="000000" w:fill="FFFFFF"/>
            <w:noWrap/>
            <w:vAlign w:val="bottom"/>
            <w:hideMark/>
          </w:tcPr>
          <w:p w14:paraId="165106AE" w14:textId="77777777" w:rsidR="00C0691D" w:rsidRPr="00847E24" w:rsidRDefault="00C0691D" w:rsidP="0010645C">
            <w:pPr>
              <w:jc w:val="center"/>
              <w:rPr>
                <w:rFonts w:ascii="Arial" w:hAnsi="Arial" w:cs="Arial"/>
                <w:szCs w:val="20"/>
              </w:rPr>
            </w:pPr>
            <w:r w:rsidRPr="00847E24">
              <w:rPr>
                <w:rFonts w:ascii="Arial" w:hAnsi="Arial" w:cs="Arial"/>
                <w:szCs w:val="20"/>
              </w:rPr>
              <w:t> </w:t>
            </w:r>
          </w:p>
        </w:tc>
      </w:tr>
      <w:tr w:rsidR="00C0691D" w:rsidRPr="00847E24" w14:paraId="36D2C349" w14:textId="77777777" w:rsidTr="00C0691D">
        <w:trPr>
          <w:trHeight w:val="285"/>
        </w:trPr>
        <w:tc>
          <w:tcPr>
            <w:tcW w:w="3969" w:type="dxa"/>
            <w:tcBorders>
              <w:top w:val="nil"/>
              <w:left w:val="nil"/>
              <w:bottom w:val="nil"/>
              <w:right w:val="nil"/>
            </w:tcBorders>
            <w:shd w:val="clear" w:color="000000" w:fill="FFFFFF"/>
            <w:noWrap/>
            <w:vAlign w:val="bottom"/>
            <w:hideMark/>
          </w:tcPr>
          <w:p w14:paraId="0E392CBF" w14:textId="77777777" w:rsidR="00C0691D" w:rsidRPr="00847E24" w:rsidRDefault="00C0691D" w:rsidP="0010645C">
            <w:pPr>
              <w:rPr>
                <w:rFonts w:ascii="Arial" w:hAnsi="Arial" w:cs="Arial"/>
                <w:b/>
                <w:bCs/>
                <w:szCs w:val="20"/>
              </w:rPr>
            </w:pPr>
            <w:r w:rsidRPr="00847E24">
              <w:rPr>
                <w:rFonts w:ascii="Arial" w:hAnsi="Arial" w:cs="Arial"/>
                <w:b/>
                <w:bCs/>
                <w:szCs w:val="20"/>
              </w:rPr>
              <w:t>Year ended 30 June 2021</w:t>
            </w:r>
          </w:p>
        </w:tc>
        <w:tc>
          <w:tcPr>
            <w:tcW w:w="993" w:type="dxa"/>
            <w:tcBorders>
              <w:top w:val="nil"/>
              <w:left w:val="nil"/>
              <w:bottom w:val="nil"/>
              <w:right w:val="nil"/>
            </w:tcBorders>
            <w:shd w:val="clear" w:color="000000" w:fill="FFFFFF"/>
            <w:noWrap/>
            <w:vAlign w:val="bottom"/>
            <w:hideMark/>
          </w:tcPr>
          <w:p w14:paraId="42765083"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tcBorders>
              <w:top w:val="nil"/>
              <w:left w:val="nil"/>
              <w:bottom w:val="nil"/>
              <w:right w:val="nil"/>
            </w:tcBorders>
            <w:shd w:val="clear" w:color="000000" w:fill="FFFFFF"/>
            <w:noWrap/>
            <w:vAlign w:val="bottom"/>
            <w:hideMark/>
          </w:tcPr>
          <w:p w14:paraId="4FFB831C"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tcBorders>
              <w:top w:val="nil"/>
              <w:left w:val="nil"/>
              <w:bottom w:val="nil"/>
              <w:right w:val="nil"/>
            </w:tcBorders>
            <w:shd w:val="clear" w:color="000000" w:fill="FFFFFF"/>
            <w:noWrap/>
            <w:vAlign w:val="bottom"/>
            <w:hideMark/>
          </w:tcPr>
          <w:p w14:paraId="7EE1BAFC" w14:textId="77777777" w:rsidR="00C0691D" w:rsidRPr="00847E24" w:rsidRDefault="00C0691D" w:rsidP="0010645C">
            <w:pPr>
              <w:rPr>
                <w:rFonts w:ascii="Arial" w:hAnsi="Arial" w:cs="Arial"/>
                <w:szCs w:val="20"/>
              </w:rPr>
            </w:pPr>
            <w:r w:rsidRPr="00847E24">
              <w:rPr>
                <w:rFonts w:ascii="Arial" w:hAnsi="Arial" w:cs="Arial"/>
                <w:szCs w:val="20"/>
              </w:rPr>
              <w:t> </w:t>
            </w:r>
          </w:p>
        </w:tc>
        <w:tc>
          <w:tcPr>
            <w:tcW w:w="1067" w:type="dxa"/>
            <w:tcBorders>
              <w:top w:val="nil"/>
              <w:left w:val="nil"/>
              <w:bottom w:val="nil"/>
              <w:right w:val="nil"/>
            </w:tcBorders>
            <w:shd w:val="clear" w:color="000000" w:fill="FFFFFF"/>
            <w:noWrap/>
            <w:vAlign w:val="bottom"/>
            <w:hideMark/>
          </w:tcPr>
          <w:p w14:paraId="34CF5261" w14:textId="77777777" w:rsidR="00C0691D" w:rsidRPr="00847E24" w:rsidRDefault="00C0691D" w:rsidP="0010645C">
            <w:pPr>
              <w:rPr>
                <w:rFonts w:ascii="Arial" w:hAnsi="Arial" w:cs="Arial"/>
                <w:szCs w:val="20"/>
              </w:rPr>
            </w:pPr>
            <w:r w:rsidRPr="00847E24">
              <w:rPr>
                <w:rFonts w:ascii="Arial" w:hAnsi="Arial" w:cs="Arial"/>
                <w:szCs w:val="20"/>
              </w:rPr>
              <w:t> </w:t>
            </w:r>
          </w:p>
        </w:tc>
        <w:tc>
          <w:tcPr>
            <w:tcW w:w="992" w:type="dxa"/>
            <w:gridSpan w:val="2"/>
            <w:tcBorders>
              <w:top w:val="nil"/>
              <w:left w:val="nil"/>
              <w:bottom w:val="nil"/>
              <w:right w:val="nil"/>
            </w:tcBorders>
            <w:shd w:val="clear" w:color="000000" w:fill="FFFFFF"/>
            <w:noWrap/>
            <w:vAlign w:val="bottom"/>
            <w:hideMark/>
          </w:tcPr>
          <w:p w14:paraId="10981E65" w14:textId="77777777" w:rsidR="00C0691D" w:rsidRPr="00847E24" w:rsidRDefault="00C0691D" w:rsidP="0010645C">
            <w:pPr>
              <w:jc w:val="center"/>
              <w:rPr>
                <w:rFonts w:ascii="Arial" w:hAnsi="Arial" w:cs="Arial"/>
                <w:szCs w:val="20"/>
              </w:rPr>
            </w:pPr>
            <w:r w:rsidRPr="00847E24">
              <w:rPr>
                <w:rFonts w:ascii="Arial" w:hAnsi="Arial" w:cs="Arial"/>
                <w:szCs w:val="20"/>
              </w:rPr>
              <w:t> </w:t>
            </w:r>
          </w:p>
        </w:tc>
      </w:tr>
      <w:tr w:rsidR="00C0691D" w:rsidRPr="00847E24" w14:paraId="349C0DA1" w14:textId="77777777" w:rsidTr="00C0691D">
        <w:trPr>
          <w:trHeight w:val="283"/>
        </w:trPr>
        <w:tc>
          <w:tcPr>
            <w:tcW w:w="3969" w:type="dxa"/>
            <w:tcBorders>
              <w:top w:val="nil"/>
              <w:left w:val="nil"/>
              <w:bottom w:val="nil"/>
              <w:right w:val="nil"/>
            </w:tcBorders>
            <w:shd w:val="clear" w:color="000000" w:fill="FFFFFF"/>
            <w:noWrap/>
            <w:vAlign w:val="bottom"/>
            <w:hideMark/>
          </w:tcPr>
          <w:p w14:paraId="4E9AA302"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3" w:type="dxa"/>
            <w:tcBorders>
              <w:top w:val="nil"/>
              <w:left w:val="nil"/>
              <w:bottom w:val="nil"/>
              <w:right w:val="nil"/>
            </w:tcBorders>
            <w:shd w:val="clear" w:color="000000" w:fill="FFFFFF"/>
            <w:noWrap/>
            <w:vAlign w:val="bottom"/>
            <w:hideMark/>
          </w:tcPr>
          <w:p w14:paraId="1D6C5540"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2021</w:t>
            </w:r>
          </w:p>
        </w:tc>
        <w:tc>
          <w:tcPr>
            <w:tcW w:w="992" w:type="dxa"/>
            <w:tcBorders>
              <w:top w:val="nil"/>
              <w:left w:val="nil"/>
              <w:bottom w:val="nil"/>
              <w:right w:val="nil"/>
            </w:tcBorders>
            <w:shd w:val="clear" w:color="000000" w:fill="FFFFFF"/>
            <w:noWrap/>
            <w:vAlign w:val="bottom"/>
            <w:hideMark/>
          </w:tcPr>
          <w:p w14:paraId="600F43B3"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2020</w:t>
            </w:r>
          </w:p>
        </w:tc>
        <w:tc>
          <w:tcPr>
            <w:tcW w:w="992" w:type="dxa"/>
            <w:tcBorders>
              <w:top w:val="nil"/>
              <w:left w:val="nil"/>
              <w:bottom w:val="nil"/>
              <w:right w:val="nil"/>
            </w:tcBorders>
            <w:shd w:val="clear" w:color="000000" w:fill="FFFFFF"/>
            <w:noWrap/>
            <w:vAlign w:val="bottom"/>
            <w:hideMark/>
          </w:tcPr>
          <w:p w14:paraId="44A526DC"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2021</w:t>
            </w:r>
          </w:p>
        </w:tc>
        <w:tc>
          <w:tcPr>
            <w:tcW w:w="1067" w:type="dxa"/>
            <w:tcBorders>
              <w:top w:val="nil"/>
              <w:left w:val="nil"/>
              <w:bottom w:val="nil"/>
              <w:right w:val="nil"/>
            </w:tcBorders>
            <w:shd w:val="clear" w:color="000000" w:fill="FFFFFF"/>
            <w:noWrap/>
            <w:vAlign w:val="bottom"/>
            <w:hideMark/>
          </w:tcPr>
          <w:p w14:paraId="0ED090EE"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w:t>
            </w:r>
          </w:p>
        </w:tc>
        <w:tc>
          <w:tcPr>
            <w:tcW w:w="992" w:type="dxa"/>
            <w:gridSpan w:val="2"/>
            <w:tcBorders>
              <w:top w:val="nil"/>
              <w:left w:val="nil"/>
              <w:bottom w:val="nil"/>
              <w:right w:val="nil"/>
            </w:tcBorders>
            <w:shd w:val="clear" w:color="000000" w:fill="FFFFFF"/>
            <w:noWrap/>
            <w:vAlign w:val="bottom"/>
            <w:hideMark/>
          </w:tcPr>
          <w:p w14:paraId="7254A71E" w14:textId="77777777" w:rsidR="00C0691D" w:rsidRPr="00847E24" w:rsidRDefault="00C0691D" w:rsidP="0010645C">
            <w:pPr>
              <w:jc w:val="center"/>
              <w:rPr>
                <w:rFonts w:ascii="Arial" w:hAnsi="Arial" w:cs="Arial"/>
                <w:b/>
                <w:bCs/>
                <w:sz w:val="18"/>
                <w:szCs w:val="18"/>
              </w:rPr>
            </w:pPr>
            <w:r w:rsidRPr="00847E24">
              <w:rPr>
                <w:rFonts w:ascii="Arial" w:hAnsi="Arial" w:cs="Arial"/>
                <w:b/>
                <w:bCs/>
                <w:sz w:val="18"/>
                <w:szCs w:val="18"/>
              </w:rPr>
              <w:t>Note</w:t>
            </w:r>
          </w:p>
        </w:tc>
      </w:tr>
      <w:tr w:rsidR="00C0691D" w:rsidRPr="00847E24" w14:paraId="228DB8EA" w14:textId="77777777" w:rsidTr="00C0691D">
        <w:trPr>
          <w:trHeight w:val="480"/>
        </w:trPr>
        <w:tc>
          <w:tcPr>
            <w:tcW w:w="3969" w:type="dxa"/>
            <w:tcBorders>
              <w:top w:val="nil"/>
              <w:left w:val="nil"/>
              <w:bottom w:val="nil"/>
              <w:right w:val="nil"/>
            </w:tcBorders>
            <w:shd w:val="clear" w:color="000000" w:fill="FFFFFF"/>
            <w:noWrap/>
            <w:vAlign w:val="bottom"/>
            <w:hideMark/>
          </w:tcPr>
          <w:p w14:paraId="61C3AA56"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3" w:type="dxa"/>
            <w:tcBorders>
              <w:top w:val="nil"/>
              <w:left w:val="nil"/>
              <w:bottom w:val="nil"/>
              <w:right w:val="nil"/>
            </w:tcBorders>
            <w:shd w:val="clear" w:color="000000" w:fill="FFFFFF"/>
            <w:noWrap/>
            <w:vAlign w:val="bottom"/>
            <w:hideMark/>
          </w:tcPr>
          <w:p w14:paraId="2A6A7EB5"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xml:space="preserve">Actual </w:t>
            </w:r>
          </w:p>
        </w:tc>
        <w:tc>
          <w:tcPr>
            <w:tcW w:w="992" w:type="dxa"/>
            <w:tcBorders>
              <w:top w:val="nil"/>
              <w:left w:val="nil"/>
              <w:bottom w:val="nil"/>
              <w:right w:val="nil"/>
            </w:tcBorders>
            <w:shd w:val="clear" w:color="000000" w:fill="FFFFFF"/>
            <w:noWrap/>
            <w:vAlign w:val="bottom"/>
            <w:hideMark/>
          </w:tcPr>
          <w:p w14:paraId="528BBAF2"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xml:space="preserve">Actual </w:t>
            </w:r>
          </w:p>
        </w:tc>
        <w:tc>
          <w:tcPr>
            <w:tcW w:w="992" w:type="dxa"/>
            <w:tcBorders>
              <w:top w:val="nil"/>
              <w:left w:val="nil"/>
              <w:bottom w:val="nil"/>
              <w:right w:val="nil"/>
            </w:tcBorders>
            <w:shd w:val="clear" w:color="000000" w:fill="FFFFFF"/>
            <w:vAlign w:val="bottom"/>
            <w:hideMark/>
          </w:tcPr>
          <w:p w14:paraId="558FC3E8"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Original Budget</w:t>
            </w:r>
          </w:p>
        </w:tc>
        <w:tc>
          <w:tcPr>
            <w:tcW w:w="1067" w:type="dxa"/>
            <w:tcBorders>
              <w:top w:val="nil"/>
              <w:left w:val="nil"/>
              <w:bottom w:val="nil"/>
              <w:right w:val="nil"/>
            </w:tcBorders>
            <w:shd w:val="clear" w:color="000000" w:fill="FFFFFF"/>
            <w:vAlign w:val="bottom"/>
            <w:hideMark/>
          </w:tcPr>
          <w:p w14:paraId="075B8E00"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Budget Variances</w:t>
            </w:r>
          </w:p>
        </w:tc>
        <w:tc>
          <w:tcPr>
            <w:tcW w:w="992" w:type="dxa"/>
            <w:gridSpan w:val="2"/>
            <w:vMerge w:val="restart"/>
            <w:tcBorders>
              <w:top w:val="nil"/>
              <w:left w:val="nil"/>
              <w:bottom w:val="nil"/>
              <w:right w:val="nil"/>
            </w:tcBorders>
            <w:shd w:val="clear" w:color="000000" w:fill="FFFFFF"/>
            <w:vAlign w:val="bottom"/>
            <w:hideMark/>
          </w:tcPr>
          <w:p w14:paraId="5E634CFF" w14:textId="77777777" w:rsidR="00C0691D" w:rsidRPr="00847E24" w:rsidRDefault="00C0691D" w:rsidP="0010645C">
            <w:pPr>
              <w:jc w:val="center"/>
              <w:rPr>
                <w:rFonts w:ascii="Arial" w:hAnsi="Arial" w:cs="Arial"/>
                <w:b/>
                <w:bCs/>
                <w:sz w:val="18"/>
                <w:szCs w:val="18"/>
              </w:rPr>
            </w:pPr>
            <w:r w:rsidRPr="00847E24">
              <w:rPr>
                <w:rFonts w:ascii="Arial" w:hAnsi="Arial" w:cs="Arial"/>
                <w:b/>
                <w:bCs/>
                <w:sz w:val="18"/>
                <w:szCs w:val="18"/>
              </w:rPr>
              <w:t>Budget</w:t>
            </w:r>
            <w:r w:rsidRPr="00847E24">
              <w:rPr>
                <w:rFonts w:ascii="Arial" w:hAnsi="Arial" w:cs="Arial"/>
                <w:b/>
                <w:bCs/>
                <w:sz w:val="18"/>
                <w:szCs w:val="18"/>
              </w:rPr>
              <w:br/>
              <w:t>Variance</w:t>
            </w:r>
          </w:p>
        </w:tc>
      </w:tr>
      <w:tr w:rsidR="00C0691D" w:rsidRPr="00847E24" w14:paraId="5AF31AA6" w14:textId="77777777" w:rsidTr="00C0691D">
        <w:trPr>
          <w:trHeight w:val="285"/>
        </w:trPr>
        <w:tc>
          <w:tcPr>
            <w:tcW w:w="3969" w:type="dxa"/>
            <w:tcBorders>
              <w:top w:val="nil"/>
              <w:left w:val="nil"/>
              <w:bottom w:val="nil"/>
              <w:right w:val="nil"/>
            </w:tcBorders>
            <w:shd w:val="clear" w:color="000000" w:fill="FFFFFF"/>
            <w:noWrap/>
            <w:vAlign w:val="bottom"/>
            <w:hideMark/>
          </w:tcPr>
          <w:p w14:paraId="31FBC086"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OPERATING RESULT</w:t>
            </w:r>
          </w:p>
        </w:tc>
        <w:tc>
          <w:tcPr>
            <w:tcW w:w="993" w:type="dxa"/>
            <w:tcBorders>
              <w:top w:val="nil"/>
              <w:left w:val="nil"/>
              <w:bottom w:val="nil"/>
              <w:right w:val="nil"/>
            </w:tcBorders>
            <w:shd w:val="clear" w:color="000000" w:fill="FFFFFF"/>
            <w:noWrap/>
            <w:vAlign w:val="bottom"/>
            <w:hideMark/>
          </w:tcPr>
          <w:p w14:paraId="2215B484"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$'000</w:t>
            </w:r>
          </w:p>
        </w:tc>
        <w:tc>
          <w:tcPr>
            <w:tcW w:w="992" w:type="dxa"/>
            <w:tcBorders>
              <w:top w:val="nil"/>
              <w:left w:val="nil"/>
              <w:bottom w:val="nil"/>
              <w:right w:val="nil"/>
            </w:tcBorders>
            <w:shd w:val="clear" w:color="000000" w:fill="FFFFFF"/>
            <w:noWrap/>
            <w:vAlign w:val="bottom"/>
            <w:hideMark/>
          </w:tcPr>
          <w:p w14:paraId="35BAEBA5"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$'000</w:t>
            </w:r>
          </w:p>
        </w:tc>
        <w:tc>
          <w:tcPr>
            <w:tcW w:w="992" w:type="dxa"/>
            <w:tcBorders>
              <w:top w:val="nil"/>
              <w:left w:val="nil"/>
              <w:bottom w:val="nil"/>
              <w:right w:val="nil"/>
            </w:tcBorders>
            <w:shd w:val="clear" w:color="000000" w:fill="FFFFFF"/>
            <w:noWrap/>
            <w:vAlign w:val="bottom"/>
            <w:hideMark/>
          </w:tcPr>
          <w:p w14:paraId="5EEEDB8D"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$'000</w:t>
            </w:r>
          </w:p>
        </w:tc>
        <w:tc>
          <w:tcPr>
            <w:tcW w:w="1067" w:type="dxa"/>
            <w:tcBorders>
              <w:top w:val="nil"/>
              <w:left w:val="nil"/>
              <w:bottom w:val="nil"/>
              <w:right w:val="nil"/>
            </w:tcBorders>
            <w:shd w:val="clear" w:color="000000" w:fill="FFFFFF"/>
            <w:noWrap/>
            <w:vAlign w:val="bottom"/>
            <w:hideMark/>
          </w:tcPr>
          <w:p w14:paraId="0C699C6C"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$'000</w:t>
            </w:r>
          </w:p>
        </w:tc>
        <w:tc>
          <w:tcPr>
            <w:tcW w:w="992" w:type="dxa"/>
            <w:gridSpan w:val="2"/>
            <w:vMerge/>
            <w:tcBorders>
              <w:top w:val="nil"/>
              <w:left w:val="nil"/>
              <w:bottom w:val="nil"/>
              <w:right w:val="nil"/>
            </w:tcBorders>
            <w:vAlign w:val="center"/>
            <w:hideMark/>
          </w:tcPr>
          <w:p w14:paraId="4AA299CD" w14:textId="77777777" w:rsidR="00C0691D" w:rsidRPr="00847E24" w:rsidRDefault="00C0691D" w:rsidP="0010645C">
            <w:pPr>
              <w:rPr>
                <w:rFonts w:ascii="Arial" w:hAnsi="Arial" w:cs="Arial"/>
                <w:b/>
                <w:bCs/>
                <w:sz w:val="18"/>
                <w:szCs w:val="18"/>
              </w:rPr>
            </w:pPr>
          </w:p>
        </w:tc>
      </w:tr>
      <w:tr w:rsidR="00C0691D" w:rsidRPr="00847E24" w14:paraId="43AAEEF7" w14:textId="77777777" w:rsidTr="00C0691D">
        <w:trPr>
          <w:trHeight w:val="285"/>
        </w:trPr>
        <w:tc>
          <w:tcPr>
            <w:tcW w:w="3969" w:type="dxa"/>
            <w:tcBorders>
              <w:top w:val="nil"/>
              <w:left w:val="nil"/>
              <w:bottom w:val="nil"/>
              <w:right w:val="nil"/>
            </w:tcBorders>
            <w:shd w:val="clear" w:color="000000" w:fill="FFFFFF"/>
            <w:noWrap/>
            <w:vAlign w:val="bottom"/>
            <w:hideMark/>
          </w:tcPr>
          <w:p w14:paraId="3B522F97"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 </w:t>
            </w:r>
          </w:p>
        </w:tc>
        <w:tc>
          <w:tcPr>
            <w:tcW w:w="993" w:type="dxa"/>
            <w:tcBorders>
              <w:top w:val="nil"/>
              <w:left w:val="nil"/>
              <w:bottom w:val="nil"/>
              <w:right w:val="nil"/>
            </w:tcBorders>
            <w:shd w:val="clear" w:color="000000" w:fill="FFFFFF"/>
            <w:noWrap/>
            <w:vAlign w:val="bottom"/>
            <w:hideMark/>
          </w:tcPr>
          <w:p w14:paraId="5AF8932A"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w:t>
            </w:r>
          </w:p>
        </w:tc>
        <w:tc>
          <w:tcPr>
            <w:tcW w:w="992" w:type="dxa"/>
            <w:tcBorders>
              <w:top w:val="nil"/>
              <w:left w:val="nil"/>
              <w:bottom w:val="nil"/>
              <w:right w:val="nil"/>
            </w:tcBorders>
            <w:shd w:val="clear" w:color="000000" w:fill="FFFFFF"/>
            <w:noWrap/>
            <w:vAlign w:val="bottom"/>
            <w:hideMark/>
          </w:tcPr>
          <w:p w14:paraId="0D328DE6"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w:t>
            </w:r>
          </w:p>
        </w:tc>
        <w:tc>
          <w:tcPr>
            <w:tcW w:w="992" w:type="dxa"/>
            <w:tcBorders>
              <w:top w:val="nil"/>
              <w:left w:val="nil"/>
              <w:bottom w:val="nil"/>
              <w:right w:val="nil"/>
            </w:tcBorders>
            <w:shd w:val="clear" w:color="000000" w:fill="FFFFFF"/>
            <w:noWrap/>
            <w:vAlign w:val="bottom"/>
            <w:hideMark/>
          </w:tcPr>
          <w:p w14:paraId="677A69A6"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w:t>
            </w:r>
          </w:p>
        </w:tc>
        <w:tc>
          <w:tcPr>
            <w:tcW w:w="1067" w:type="dxa"/>
            <w:tcBorders>
              <w:top w:val="nil"/>
              <w:left w:val="nil"/>
              <w:bottom w:val="nil"/>
              <w:right w:val="nil"/>
            </w:tcBorders>
            <w:shd w:val="clear" w:color="000000" w:fill="FFFFFF"/>
            <w:noWrap/>
            <w:vAlign w:val="bottom"/>
            <w:hideMark/>
          </w:tcPr>
          <w:p w14:paraId="5E33EEE1"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 </w:t>
            </w:r>
          </w:p>
        </w:tc>
        <w:tc>
          <w:tcPr>
            <w:tcW w:w="992" w:type="dxa"/>
            <w:gridSpan w:val="2"/>
            <w:tcBorders>
              <w:top w:val="nil"/>
              <w:left w:val="nil"/>
              <w:bottom w:val="nil"/>
              <w:right w:val="nil"/>
            </w:tcBorders>
            <w:shd w:val="clear" w:color="000000" w:fill="FFFFFF"/>
            <w:vAlign w:val="bottom"/>
            <w:hideMark/>
          </w:tcPr>
          <w:p w14:paraId="096004F5" w14:textId="77777777" w:rsidR="00C0691D" w:rsidRPr="00847E24" w:rsidRDefault="00C0691D" w:rsidP="0010645C">
            <w:pPr>
              <w:jc w:val="center"/>
              <w:rPr>
                <w:rFonts w:ascii="Calibri" w:hAnsi="Calibri" w:cs="Calibri"/>
                <w:color w:val="000000"/>
              </w:rPr>
            </w:pPr>
            <w:r w:rsidRPr="00847E24">
              <w:rPr>
                <w:rFonts w:ascii="Calibri" w:hAnsi="Calibri" w:cs="Calibri"/>
                <w:color w:val="000000"/>
              </w:rPr>
              <w:t> </w:t>
            </w:r>
          </w:p>
        </w:tc>
      </w:tr>
      <w:tr w:rsidR="00C0691D" w:rsidRPr="00847E24" w14:paraId="1394FD95" w14:textId="77777777" w:rsidTr="00C0691D">
        <w:trPr>
          <w:trHeight w:val="285"/>
        </w:trPr>
        <w:tc>
          <w:tcPr>
            <w:tcW w:w="3969" w:type="dxa"/>
            <w:tcBorders>
              <w:top w:val="nil"/>
              <w:left w:val="nil"/>
              <w:bottom w:val="nil"/>
              <w:right w:val="nil"/>
            </w:tcBorders>
            <w:shd w:val="clear" w:color="000000" w:fill="FFFFFF"/>
            <w:noWrap/>
            <w:vAlign w:val="bottom"/>
            <w:hideMark/>
          </w:tcPr>
          <w:p w14:paraId="0F9E49E8"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Income from Continuing Operations</w:t>
            </w:r>
          </w:p>
        </w:tc>
        <w:tc>
          <w:tcPr>
            <w:tcW w:w="993" w:type="dxa"/>
            <w:tcBorders>
              <w:top w:val="nil"/>
              <w:left w:val="nil"/>
              <w:bottom w:val="nil"/>
              <w:right w:val="nil"/>
            </w:tcBorders>
            <w:shd w:val="clear" w:color="000000" w:fill="FFFFFF"/>
            <w:noWrap/>
            <w:vAlign w:val="bottom"/>
            <w:hideMark/>
          </w:tcPr>
          <w:p w14:paraId="46860A65"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1F49989D"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6570834B"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1067" w:type="dxa"/>
            <w:tcBorders>
              <w:top w:val="nil"/>
              <w:left w:val="nil"/>
              <w:bottom w:val="nil"/>
              <w:right w:val="nil"/>
            </w:tcBorders>
            <w:shd w:val="clear" w:color="000000" w:fill="FFFFFF"/>
            <w:noWrap/>
            <w:vAlign w:val="bottom"/>
            <w:hideMark/>
          </w:tcPr>
          <w:p w14:paraId="2869C04B"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gridSpan w:val="2"/>
            <w:tcBorders>
              <w:top w:val="nil"/>
              <w:left w:val="nil"/>
              <w:bottom w:val="nil"/>
              <w:right w:val="nil"/>
            </w:tcBorders>
            <w:shd w:val="clear" w:color="000000" w:fill="FFFFFF"/>
            <w:noWrap/>
            <w:vAlign w:val="bottom"/>
            <w:hideMark/>
          </w:tcPr>
          <w:p w14:paraId="7C02D43C"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242A7CF2" w14:textId="77777777" w:rsidTr="00C0691D">
        <w:trPr>
          <w:trHeight w:val="285"/>
        </w:trPr>
        <w:tc>
          <w:tcPr>
            <w:tcW w:w="3969" w:type="dxa"/>
            <w:tcBorders>
              <w:top w:val="nil"/>
              <w:left w:val="nil"/>
              <w:bottom w:val="nil"/>
              <w:right w:val="nil"/>
            </w:tcBorders>
            <w:shd w:val="clear" w:color="000000" w:fill="FFFFFF"/>
            <w:noWrap/>
            <w:vAlign w:val="bottom"/>
            <w:hideMark/>
          </w:tcPr>
          <w:p w14:paraId="55D0F34D" w14:textId="77777777" w:rsidR="00C0691D" w:rsidRPr="00847E24" w:rsidRDefault="00C0691D" w:rsidP="0010645C">
            <w:pPr>
              <w:rPr>
                <w:rFonts w:ascii="Arial" w:hAnsi="Arial" w:cs="Arial"/>
                <w:sz w:val="18"/>
                <w:szCs w:val="18"/>
              </w:rPr>
            </w:pPr>
            <w:r w:rsidRPr="00847E24">
              <w:rPr>
                <w:rFonts w:ascii="Arial" w:hAnsi="Arial" w:cs="Arial"/>
                <w:sz w:val="18"/>
                <w:szCs w:val="18"/>
              </w:rPr>
              <w:t>Appropriation revenue</w:t>
            </w:r>
          </w:p>
        </w:tc>
        <w:tc>
          <w:tcPr>
            <w:tcW w:w="993" w:type="dxa"/>
            <w:tcBorders>
              <w:top w:val="nil"/>
              <w:left w:val="nil"/>
              <w:bottom w:val="nil"/>
              <w:right w:val="nil"/>
            </w:tcBorders>
            <w:shd w:val="clear" w:color="000000" w:fill="FFFFFF"/>
            <w:noWrap/>
            <w:vAlign w:val="bottom"/>
            <w:hideMark/>
          </w:tcPr>
          <w:p w14:paraId="4C12B753"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1,091</w:t>
            </w:r>
          </w:p>
        </w:tc>
        <w:tc>
          <w:tcPr>
            <w:tcW w:w="992" w:type="dxa"/>
            <w:tcBorders>
              <w:top w:val="nil"/>
              <w:left w:val="nil"/>
              <w:bottom w:val="nil"/>
              <w:right w:val="nil"/>
            </w:tcBorders>
            <w:shd w:val="clear" w:color="000000" w:fill="FFFFFF"/>
            <w:noWrap/>
            <w:vAlign w:val="bottom"/>
            <w:hideMark/>
          </w:tcPr>
          <w:p w14:paraId="050FC9A4"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1,292</w:t>
            </w:r>
          </w:p>
        </w:tc>
        <w:tc>
          <w:tcPr>
            <w:tcW w:w="992" w:type="dxa"/>
            <w:tcBorders>
              <w:top w:val="nil"/>
              <w:left w:val="nil"/>
              <w:bottom w:val="nil"/>
              <w:right w:val="nil"/>
            </w:tcBorders>
            <w:shd w:val="clear" w:color="000000" w:fill="FFFFFF"/>
            <w:noWrap/>
            <w:vAlign w:val="bottom"/>
            <w:hideMark/>
          </w:tcPr>
          <w:p w14:paraId="49B74DED"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1,087</w:t>
            </w:r>
          </w:p>
        </w:tc>
        <w:tc>
          <w:tcPr>
            <w:tcW w:w="1067" w:type="dxa"/>
            <w:tcBorders>
              <w:top w:val="nil"/>
              <w:left w:val="nil"/>
              <w:bottom w:val="nil"/>
              <w:right w:val="nil"/>
            </w:tcBorders>
            <w:shd w:val="clear" w:color="000000" w:fill="FFFFFF"/>
            <w:noWrap/>
            <w:vAlign w:val="bottom"/>
            <w:hideMark/>
          </w:tcPr>
          <w:p w14:paraId="18356387"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4</w:t>
            </w:r>
          </w:p>
        </w:tc>
        <w:tc>
          <w:tcPr>
            <w:tcW w:w="992" w:type="dxa"/>
            <w:gridSpan w:val="2"/>
            <w:tcBorders>
              <w:top w:val="nil"/>
              <w:left w:val="nil"/>
              <w:bottom w:val="nil"/>
              <w:right w:val="nil"/>
            </w:tcBorders>
            <w:shd w:val="clear" w:color="000000" w:fill="FFFFFF"/>
            <w:noWrap/>
            <w:vAlign w:val="bottom"/>
            <w:hideMark/>
          </w:tcPr>
          <w:p w14:paraId="5337F122"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029CE1A1" w14:textId="77777777" w:rsidTr="00C0691D">
        <w:trPr>
          <w:trHeight w:val="285"/>
        </w:trPr>
        <w:tc>
          <w:tcPr>
            <w:tcW w:w="3969" w:type="dxa"/>
            <w:tcBorders>
              <w:top w:val="nil"/>
              <w:left w:val="nil"/>
              <w:bottom w:val="nil"/>
              <w:right w:val="nil"/>
            </w:tcBorders>
            <w:shd w:val="clear" w:color="000000" w:fill="FFFFFF"/>
            <w:noWrap/>
            <w:vAlign w:val="bottom"/>
            <w:hideMark/>
          </w:tcPr>
          <w:p w14:paraId="0D08105B" w14:textId="77777777" w:rsidR="00C0691D" w:rsidRPr="00847E24" w:rsidRDefault="00C0691D" w:rsidP="0010645C">
            <w:pPr>
              <w:rPr>
                <w:rFonts w:ascii="Arial" w:hAnsi="Arial" w:cs="Arial"/>
                <w:sz w:val="18"/>
                <w:szCs w:val="18"/>
              </w:rPr>
            </w:pPr>
            <w:r w:rsidRPr="00847E24">
              <w:rPr>
                <w:rFonts w:ascii="Arial" w:hAnsi="Arial" w:cs="Arial"/>
                <w:sz w:val="18"/>
                <w:szCs w:val="18"/>
              </w:rPr>
              <w:t>Grants and other contributions</w:t>
            </w:r>
          </w:p>
        </w:tc>
        <w:tc>
          <w:tcPr>
            <w:tcW w:w="993" w:type="dxa"/>
            <w:tcBorders>
              <w:top w:val="nil"/>
              <w:left w:val="nil"/>
              <w:bottom w:val="nil"/>
              <w:right w:val="nil"/>
            </w:tcBorders>
            <w:shd w:val="clear" w:color="000000" w:fill="FFFFFF"/>
            <w:noWrap/>
            <w:vAlign w:val="bottom"/>
            <w:hideMark/>
          </w:tcPr>
          <w:p w14:paraId="09682EA1" w14:textId="2CBA48CA"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tcBorders>
              <w:top w:val="nil"/>
              <w:left w:val="nil"/>
              <w:bottom w:val="nil"/>
              <w:right w:val="nil"/>
            </w:tcBorders>
            <w:shd w:val="clear" w:color="000000" w:fill="FFFFFF"/>
            <w:noWrap/>
            <w:vAlign w:val="bottom"/>
            <w:hideMark/>
          </w:tcPr>
          <w:p w14:paraId="7CD19979" w14:textId="3E1783A1"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tcBorders>
              <w:top w:val="nil"/>
              <w:left w:val="nil"/>
              <w:bottom w:val="nil"/>
              <w:right w:val="nil"/>
            </w:tcBorders>
            <w:shd w:val="clear" w:color="000000" w:fill="FFFFFF"/>
            <w:noWrap/>
            <w:vAlign w:val="bottom"/>
            <w:hideMark/>
          </w:tcPr>
          <w:p w14:paraId="0FF99FA3" w14:textId="4D16490F"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1067" w:type="dxa"/>
            <w:tcBorders>
              <w:top w:val="nil"/>
              <w:left w:val="nil"/>
              <w:bottom w:val="nil"/>
              <w:right w:val="nil"/>
            </w:tcBorders>
            <w:shd w:val="clear" w:color="000000" w:fill="FFFFFF"/>
            <w:noWrap/>
            <w:vAlign w:val="bottom"/>
            <w:hideMark/>
          </w:tcPr>
          <w:p w14:paraId="766DDA3F" w14:textId="1D4F9E56"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gridSpan w:val="2"/>
            <w:tcBorders>
              <w:top w:val="nil"/>
              <w:left w:val="nil"/>
              <w:bottom w:val="nil"/>
              <w:right w:val="nil"/>
            </w:tcBorders>
            <w:shd w:val="clear" w:color="000000" w:fill="FFFFFF"/>
            <w:noWrap/>
            <w:vAlign w:val="bottom"/>
            <w:hideMark/>
          </w:tcPr>
          <w:p w14:paraId="6F5A9F44"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7F1AFCB5" w14:textId="77777777" w:rsidTr="00C0691D">
        <w:trPr>
          <w:trHeight w:val="285"/>
        </w:trPr>
        <w:tc>
          <w:tcPr>
            <w:tcW w:w="3969" w:type="dxa"/>
            <w:tcBorders>
              <w:top w:val="nil"/>
              <w:left w:val="nil"/>
              <w:bottom w:val="nil"/>
              <w:right w:val="nil"/>
            </w:tcBorders>
            <w:shd w:val="clear" w:color="000000" w:fill="FFFFFF"/>
            <w:noWrap/>
            <w:vAlign w:val="bottom"/>
            <w:hideMark/>
          </w:tcPr>
          <w:p w14:paraId="57887C95"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Total Income from Continuing Operations</w:t>
            </w:r>
          </w:p>
        </w:tc>
        <w:tc>
          <w:tcPr>
            <w:tcW w:w="993" w:type="dxa"/>
            <w:tcBorders>
              <w:top w:val="nil"/>
              <w:left w:val="nil"/>
              <w:bottom w:val="nil"/>
              <w:right w:val="nil"/>
            </w:tcBorders>
            <w:shd w:val="clear" w:color="000000" w:fill="FFFFFF"/>
            <w:noWrap/>
            <w:vAlign w:val="bottom"/>
            <w:hideMark/>
          </w:tcPr>
          <w:p w14:paraId="2A204895"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1,091</w:t>
            </w:r>
          </w:p>
        </w:tc>
        <w:tc>
          <w:tcPr>
            <w:tcW w:w="992" w:type="dxa"/>
            <w:tcBorders>
              <w:top w:val="nil"/>
              <w:left w:val="nil"/>
              <w:bottom w:val="nil"/>
              <w:right w:val="nil"/>
            </w:tcBorders>
            <w:shd w:val="clear" w:color="000000" w:fill="FFFFFF"/>
            <w:noWrap/>
            <w:vAlign w:val="bottom"/>
            <w:hideMark/>
          </w:tcPr>
          <w:p w14:paraId="338D4E8D"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1,292</w:t>
            </w:r>
          </w:p>
        </w:tc>
        <w:tc>
          <w:tcPr>
            <w:tcW w:w="992" w:type="dxa"/>
            <w:tcBorders>
              <w:top w:val="nil"/>
              <w:left w:val="nil"/>
              <w:bottom w:val="nil"/>
              <w:right w:val="nil"/>
            </w:tcBorders>
            <w:shd w:val="clear" w:color="000000" w:fill="FFFFFF"/>
            <w:noWrap/>
            <w:vAlign w:val="bottom"/>
            <w:hideMark/>
          </w:tcPr>
          <w:p w14:paraId="4F0B4991"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1,087</w:t>
            </w:r>
          </w:p>
        </w:tc>
        <w:tc>
          <w:tcPr>
            <w:tcW w:w="1067" w:type="dxa"/>
            <w:tcBorders>
              <w:top w:val="nil"/>
              <w:left w:val="nil"/>
              <w:bottom w:val="nil"/>
              <w:right w:val="nil"/>
            </w:tcBorders>
            <w:shd w:val="clear" w:color="000000" w:fill="FFFFFF"/>
            <w:noWrap/>
            <w:vAlign w:val="bottom"/>
            <w:hideMark/>
          </w:tcPr>
          <w:p w14:paraId="7F12316A"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4</w:t>
            </w:r>
          </w:p>
        </w:tc>
        <w:tc>
          <w:tcPr>
            <w:tcW w:w="992" w:type="dxa"/>
            <w:gridSpan w:val="2"/>
            <w:tcBorders>
              <w:top w:val="nil"/>
              <w:left w:val="nil"/>
              <w:bottom w:val="nil"/>
              <w:right w:val="nil"/>
            </w:tcBorders>
            <w:shd w:val="clear" w:color="000000" w:fill="FFFFFF"/>
            <w:noWrap/>
            <w:vAlign w:val="bottom"/>
            <w:hideMark/>
          </w:tcPr>
          <w:p w14:paraId="77FEA55E"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5635A5C5" w14:textId="77777777" w:rsidTr="00C0691D">
        <w:trPr>
          <w:trHeight w:val="285"/>
        </w:trPr>
        <w:tc>
          <w:tcPr>
            <w:tcW w:w="3969" w:type="dxa"/>
            <w:tcBorders>
              <w:top w:val="nil"/>
              <w:left w:val="nil"/>
              <w:bottom w:val="nil"/>
              <w:right w:val="nil"/>
            </w:tcBorders>
            <w:shd w:val="clear" w:color="000000" w:fill="FFFFFF"/>
            <w:noWrap/>
            <w:vAlign w:val="bottom"/>
            <w:hideMark/>
          </w:tcPr>
          <w:p w14:paraId="495DABCE"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3" w:type="dxa"/>
            <w:tcBorders>
              <w:top w:val="nil"/>
              <w:left w:val="nil"/>
              <w:bottom w:val="nil"/>
              <w:right w:val="nil"/>
            </w:tcBorders>
            <w:shd w:val="clear" w:color="000000" w:fill="FFFFFF"/>
            <w:noWrap/>
            <w:vAlign w:val="bottom"/>
            <w:hideMark/>
          </w:tcPr>
          <w:p w14:paraId="2994E803"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50957D53"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11F5C8E0"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1067" w:type="dxa"/>
            <w:tcBorders>
              <w:top w:val="nil"/>
              <w:left w:val="nil"/>
              <w:bottom w:val="nil"/>
              <w:right w:val="nil"/>
            </w:tcBorders>
            <w:shd w:val="clear" w:color="000000" w:fill="FFFFFF"/>
            <w:noWrap/>
            <w:vAlign w:val="bottom"/>
            <w:hideMark/>
          </w:tcPr>
          <w:p w14:paraId="1D27E62F"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gridSpan w:val="2"/>
            <w:tcBorders>
              <w:top w:val="nil"/>
              <w:left w:val="nil"/>
              <w:bottom w:val="nil"/>
              <w:right w:val="nil"/>
            </w:tcBorders>
            <w:shd w:val="clear" w:color="000000" w:fill="FFFFFF"/>
            <w:noWrap/>
            <w:vAlign w:val="bottom"/>
            <w:hideMark/>
          </w:tcPr>
          <w:p w14:paraId="1EB66461"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02B534AF" w14:textId="77777777" w:rsidTr="00C0691D">
        <w:trPr>
          <w:trHeight w:val="285"/>
        </w:trPr>
        <w:tc>
          <w:tcPr>
            <w:tcW w:w="3969" w:type="dxa"/>
            <w:tcBorders>
              <w:top w:val="nil"/>
              <w:left w:val="nil"/>
              <w:bottom w:val="nil"/>
              <w:right w:val="nil"/>
            </w:tcBorders>
            <w:shd w:val="clear" w:color="000000" w:fill="FFFFFF"/>
            <w:noWrap/>
            <w:vAlign w:val="bottom"/>
            <w:hideMark/>
          </w:tcPr>
          <w:p w14:paraId="632549CF"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Expenses from Continuing Operations</w:t>
            </w:r>
          </w:p>
        </w:tc>
        <w:tc>
          <w:tcPr>
            <w:tcW w:w="993" w:type="dxa"/>
            <w:tcBorders>
              <w:top w:val="nil"/>
              <w:left w:val="nil"/>
              <w:bottom w:val="nil"/>
              <w:right w:val="nil"/>
            </w:tcBorders>
            <w:shd w:val="clear" w:color="000000" w:fill="FFFFFF"/>
            <w:noWrap/>
            <w:vAlign w:val="bottom"/>
            <w:hideMark/>
          </w:tcPr>
          <w:p w14:paraId="288D82D6"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57E11027"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70357BC9"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1067" w:type="dxa"/>
            <w:tcBorders>
              <w:top w:val="nil"/>
              <w:left w:val="nil"/>
              <w:bottom w:val="nil"/>
              <w:right w:val="nil"/>
            </w:tcBorders>
            <w:shd w:val="clear" w:color="000000" w:fill="FFFFFF"/>
            <w:noWrap/>
            <w:vAlign w:val="bottom"/>
            <w:hideMark/>
          </w:tcPr>
          <w:p w14:paraId="4EDAC322"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gridSpan w:val="2"/>
            <w:tcBorders>
              <w:top w:val="nil"/>
              <w:left w:val="nil"/>
              <w:bottom w:val="nil"/>
              <w:right w:val="nil"/>
            </w:tcBorders>
            <w:shd w:val="clear" w:color="000000" w:fill="FFFFFF"/>
            <w:noWrap/>
            <w:vAlign w:val="bottom"/>
            <w:hideMark/>
          </w:tcPr>
          <w:p w14:paraId="397CC598"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2BB3FBCD" w14:textId="77777777" w:rsidTr="00C0691D">
        <w:trPr>
          <w:trHeight w:val="285"/>
        </w:trPr>
        <w:tc>
          <w:tcPr>
            <w:tcW w:w="3969" w:type="dxa"/>
            <w:tcBorders>
              <w:top w:val="nil"/>
              <w:left w:val="nil"/>
              <w:bottom w:val="nil"/>
              <w:right w:val="nil"/>
            </w:tcBorders>
            <w:shd w:val="clear" w:color="000000" w:fill="FFFFFF"/>
            <w:noWrap/>
            <w:vAlign w:val="bottom"/>
            <w:hideMark/>
          </w:tcPr>
          <w:p w14:paraId="7CB2D697" w14:textId="77777777" w:rsidR="00C0691D" w:rsidRPr="00847E24" w:rsidRDefault="00C0691D" w:rsidP="0010645C">
            <w:pPr>
              <w:rPr>
                <w:rFonts w:ascii="Arial" w:hAnsi="Arial" w:cs="Arial"/>
                <w:sz w:val="18"/>
                <w:szCs w:val="18"/>
              </w:rPr>
            </w:pPr>
            <w:r w:rsidRPr="00847E24">
              <w:rPr>
                <w:rFonts w:ascii="Arial" w:hAnsi="Arial" w:cs="Arial"/>
                <w:sz w:val="18"/>
                <w:szCs w:val="18"/>
              </w:rPr>
              <w:t>Employee expenses</w:t>
            </w:r>
          </w:p>
        </w:tc>
        <w:tc>
          <w:tcPr>
            <w:tcW w:w="993" w:type="dxa"/>
            <w:tcBorders>
              <w:top w:val="nil"/>
              <w:left w:val="nil"/>
              <w:bottom w:val="nil"/>
              <w:right w:val="nil"/>
            </w:tcBorders>
            <w:shd w:val="clear" w:color="000000" w:fill="FFFFFF"/>
            <w:noWrap/>
            <w:vAlign w:val="bottom"/>
            <w:hideMark/>
          </w:tcPr>
          <w:p w14:paraId="73DF67D3"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725</w:t>
            </w:r>
          </w:p>
        </w:tc>
        <w:tc>
          <w:tcPr>
            <w:tcW w:w="992" w:type="dxa"/>
            <w:tcBorders>
              <w:top w:val="nil"/>
              <w:left w:val="nil"/>
              <w:bottom w:val="nil"/>
              <w:right w:val="nil"/>
            </w:tcBorders>
            <w:shd w:val="clear" w:color="000000" w:fill="FFFFFF"/>
            <w:noWrap/>
            <w:vAlign w:val="bottom"/>
            <w:hideMark/>
          </w:tcPr>
          <w:p w14:paraId="5C9EFC11"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840</w:t>
            </w:r>
          </w:p>
        </w:tc>
        <w:tc>
          <w:tcPr>
            <w:tcW w:w="992" w:type="dxa"/>
            <w:tcBorders>
              <w:top w:val="nil"/>
              <w:left w:val="nil"/>
              <w:bottom w:val="nil"/>
              <w:right w:val="nil"/>
            </w:tcBorders>
            <w:shd w:val="clear" w:color="000000" w:fill="FFFFFF"/>
            <w:noWrap/>
            <w:vAlign w:val="bottom"/>
            <w:hideMark/>
          </w:tcPr>
          <w:p w14:paraId="5A39001A"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751</w:t>
            </w:r>
          </w:p>
        </w:tc>
        <w:tc>
          <w:tcPr>
            <w:tcW w:w="1067" w:type="dxa"/>
            <w:tcBorders>
              <w:top w:val="nil"/>
              <w:left w:val="nil"/>
              <w:bottom w:val="nil"/>
              <w:right w:val="nil"/>
            </w:tcBorders>
            <w:shd w:val="clear" w:color="000000" w:fill="FFFFFF"/>
            <w:noWrap/>
            <w:vAlign w:val="bottom"/>
            <w:hideMark/>
          </w:tcPr>
          <w:p w14:paraId="57C5BCD0"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(26)</w:t>
            </w:r>
          </w:p>
        </w:tc>
        <w:tc>
          <w:tcPr>
            <w:tcW w:w="992" w:type="dxa"/>
            <w:gridSpan w:val="2"/>
            <w:tcBorders>
              <w:top w:val="nil"/>
              <w:left w:val="nil"/>
              <w:bottom w:val="nil"/>
              <w:right w:val="nil"/>
            </w:tcBorders>
            <w:shd w:val="clear" w:color="000000" w:fill="FFFFFF"/>
            <w:noWrap/>
            <w:vAlign w:val="bottom"/>
            <w:hideMark/>
          </w:tcPr>
          <w:p w14:paraId="57E94975"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1</w:t>
            </w:r>
          </w:p>
        </w:tc>
      </w:tr>
      <w:tr w:rsidR="00C0691D" w:rsidRPr="00847E24" w14:paraId="43CDB7A2" w14:textId="77777777" w:rsidTr="00C0691D">
        <w:trPr>
          <w:trHeight w:val="285"/>
        </w:trPr>
        <w:tc>
          <w:tcPr>
            <w:tcW w:w="3969" w:type="dxa"/>
            <w:tcBorders>
              <w:top w:val="nil"/>
              <w:left w:val="nil"/>
              <w:bottom w:val="nil"/>
              <w:right w:val="nil"/>
            </w:tcBorders>
            <w:shd w:val="clear" w:color="000000" w:fill="FFFFFF"/>
            <w:noWrap/>
            <w:vAlign w:val="bottom"/>
            <w:hideMark/>
          </w:tcPr>
          <w:p w14:paraId="32CFA956" w14:textId="77777777" w:rsidR="00C0691D" w:rsidRPr="00847E24" w:rsidRDefault="00C0691D" w:rsidP="0010645C">
            <w:pPr>
              <w:rPr>
                <w:rFonts w:ascii="Arial" w:hAnsi="Arial" w:cs="Arial"/>
                <w:sz w:val="18"/>
                <w:szCs w:val="18"/>
              </w:rPr>
            </w:pPr>
            <w:r w:rsidRPr="00847E24">
              <w:rPr>
                <w:rFonts w:ascii="Arial" w:hAnsi="Arial" w:cs="Arial"/>
                <w:sz w:val="18"/>
                <w:szCs w:val="18"/>
              </w:rPr>
              <w:t>Supplies and services</w:t>
            </w:r>
          </w:p>
        </w:tc>
        <w:tc>
          <w:tcPr>
            <w:tcW w:w="993" w:type="dxa"/>
            <w:tcBorders>
              <w:top w:val="nil"/>
              <w:left w:val="nil"/>
              <w:bottom w:val="nil"/>
              <w:right w:val="nil"/>
            </w:tcBorders>
            <w:shd w:val="clear" w:color="000000" w:fill="FFFFFF"/>
            <w:noWrap/>
            <w:vAlign w:val="bottom"/>
            <w:hideMark/>
          </w:tcPr>
          <w:p w14:paraId="63A0151E"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302</w:t>
            </w:r>
          </w:p>
        </w:tc>
        <w:tc>
          <w:tcPr>
            <w:tcW w:w="992" w:type="dxa"/>
            <w:tcBorders>
              <w:top w:val="nil"/>
              <w:left w:val="nil"/>
              <w:bottom w:val="nil"/>
              <w:right w:val="nil"/>
            </w:tcBorders>
            <w:shd w:val="clear" w:color="000000" w:fill="FFFFFF"/>
            <w:noWrap/>
            <w:vAlign w:val="bottom"/>
            <w:hideMark/>
          </w:tcPr>
          <w:p w14:paraId="0F5707AD"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340</w:t>
            </w:r>
          </w:p>
        </w:tc>
        <w:tc>
          <w:tcPr>
            <w:tcW w:w="992" w:type="dxa"/>
            <w:tcBorders>
              <w:top w:val="nil"/>
              <w:left w:val="nil"/>
              <w:bottom w:val="nil"/>
              <w:right w:val="nil"/>
            </w:tcBorders>
            <w:shd w:val="clear" w:color="000000" w:fill="FFFFFF"/>
            <w:noWrap/>
            <w:vAlign w:val="bottom"/>
            <w:hideMark/>
          </w:tcPr>
          <w:p w14:paraId="18CE4148"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334</w:t>
            </w:r>
          </w:p>
        </w:tc>
        <w:tc>
          <w:tcPr>
            <w:tcW w:w="1067" w:type="dxa"/>
            <w:tcBorders>
              <w:top w:val="nil"/>
              <w:left w:val="nil"/>
              <w:bottom w:val="nil"/>
              <w:right w:val="nil"/>
            </w:tcBorders>
            <w:shd w:val="clear" w:color="000000" w:fill="FFFFFF"/>
            <w:noWrap/>
            <w:vAlign w:val="bottom"/>
            <w:hideMark/>
          </w:tcPr>
          <w:p w14:paraId="3BAB1AEF"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(32)</w:t>
            </w:r>
          </w:p>
        </w:tc>
        <w:tc>
          <w:tcPr>
            <w:tcW w:w="992" w:type="dxa"/>
            <w:gridSpan w:val="2"/>
            <w:tcBorders>
              <w:top w:val="nil"/>
              <w:left w:val="nil"/>
              <w:bottom w:val="nil"/>
              <w:right w:val="nil"/>
            </w:tcBorders>
            <w:shd w:val="clear" w:color="000000" w:fill="FFFFFF"/>
            <w:noWrap/>
            <w:vAlign w:val="bottom"/>
            <w:hideMark/>
          </w:tcPr>
          <w:p w14:paraId="2E350A02"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2</w:t>
            </w:r>
          </w:p>
        </w:tc>
      </w:tr>
      <w:tr w:rsidR="00C0691D" w:rsidRPr="00847E24" w14:paraId="285FB7C1" w14:textId="77777777" w:rsidTr="00C0691D">
        <w:trPr>
          <w:trHeight w:val="285"/>
        </w:trPr>
        <w:tc>
          <w:tcPr>
            <w:tcW w:w="3969" w:type="dxa"/>
            <w:tcBorders>
              <w:top w:val="nil"/>
              <w:left w:val="nil"/>
              <w:bottom w:val="nil"/>
              <w:right w:val="nil"/>
            </w:tcBorders>
            <w:shd w:val="clear" w:color="000000" w:fill="FFFFFF"/>
            <w:noWrap/>
            <w:vAlign w:val="bottom"/>
            <w:hideMark/>
          </w:tcPr>
          <w:p w14:paraId="460A9193" w14:textId="77777777" w:rsidR="00C0691D" w:rsidRPr="00847E24" w:rsidRDefault="00C0691D" w:rsidP="0010645C">
            <w:pPr>
              <w:rPr>
                <w:rFonts w:ascii="Arial" w:hAnsi="Arial" w:cs="Arial"/>
                <w:sz w:val="18"/>
                <w:szCs w:val="18"/>
              </w:rPr>
            </w:pPr>
            <w:r w:rsidRPr="00847E24">
              <w:rPr>
                <w:rFonts w:ascii="Arial" w:hAnsi="Arial" w:cs="Arial"/>
                <w:sz w:val="18"/>
                <w:szCs w:val="18"/>
              </w:rPr>
              <w:t>Grants and subsidies</w:t>
            </w:r>
          </w:p>
        </w:tc>
        <w:tc>
          <w:tcPr>
            <w:tcW w:w="993" w:type="dxa"/>
            <w:tcBorders>
              <w:top w:val="nil"/>
              <w:left w:val="nil"/>
              <w:bottom w:val="nil"/>
              <w:right w:val="nil"/>
            </w:tcBorders>
            <w:shd w:val="clear" w:color="000000" w:fill="FFFFFF"/>
            <w:noWrap/>
            <w:vAlign w:val="bottom"/>
            <w:hideMark/>
          </w:tcPr>
          <w:p w14:paraId="1E7F986F" w14:textId="6D6AEA4E"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tcBorders>
              <w:top w:val="nil"/>
              <w:left w:val="nil"/>
              <w:bottom w:val="nil"/>
              <w:right w:val="nil"/>
            </w:tcBorders>
            <w:shd w:val="clear" w:color="000000" w:fill="FFFFFF"/>
            <w:noWrap/>
            <w:vAlign w:val="bottom"/>
            <w:hideMark/>
          </w:tcPr>
          <w:p w14:paraId="2007A09C" w14:textId="707FF42D"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tcBorders>
              <w:top w:val="nil"/>
              <w:left w:val="nil"/>
              <w:bottom w:val="nil"/>
              <w:right w:val="nil"/>
            </w:tcBorders>
            <w:shd w:val="clear" w:color="000000" w:fill="FFFFFF"/>
            <w:noWrap/>
            <w:vAlign w:val="bottom"/>
            <w:hideMark/>
          </w:tcPr>
          <w:p w14:paraId="5FA942AF" w14:textId="33EF117F"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1067" w:type="dxa"/>
            <w:tcBorders>
              <w:top w:val="nil"/>
              <w:left w:val="nil"/>
              <w:bottom w:val="nil"/>
              <w:right w:val="nil"/>
            </w:tcBorders>
            <w:shd w:val="clear" w:color="000000" w:fill="FFFFFF"/>
            <w:noWrap/>
            <w:vAlign w:val="bottom"/>
            <w:hideMark/>
          </w:tcPr>
          <w:p w14:paraId="7B700E62" w14:textId="22ED86D8"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gridSpan w:val="2"/>
            <w:tcBorders>
              <w:top w:val="nil"/>
              <w:left w:val="nil"/>
              <w:bottom w:val="nil"/>
              <w:right w:val="nil"/>
            </w:tcBorders>
            <w:shd w:val="clear" w:color="000000" w:fill="FFFFFF"/>
            <w:noWrap/>
            <w:vAlign w:val="bottom"/>
            <w:hideMark/>
          </w:tcPr>
          <w:p w14:paraId="14E4CB80"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5CB697C6" w14:textId="77777777" w:rsidTr="00C0691D">
        <w:trPr>
          <w:trHeight w:val="285"/>
        </w:trPr>
        <w:tc>
          <w:tcPr>
            <w:tcW w:w="3969" w:type="dxa"/>
            <w:tcBorders>
              <w:top w:val="nil"/>
              <w:left w:val="nil"/>
              <w:bottom w:val="nil"/>
              <w:right w:val="nil"/>
            </w:tcBorders>
            <w:shd w:val="clear" w:color="000000" w:fill="FFFFFF"/>
            <w:noWrap/>
            <w:vAlign w:val="bottom"/>
            <w:hideMark/>
          </w:tcPr>
          <w:p w14:paraId="7B19412C" w14:textId="77777777" w:rsidR="00C0691D" w:rsidRPr="00847E24" w:rsidRDefault="00C0691D" w:rsidP="0010645C">
            <w:pPr>
              <w:rPr>
                <w:rFonts w:ascii="Arial" w:hAnsi="Arial" w:cs="Arial"/>
                <w:sz w:val="18"/>
                <w:szCs w:val="18"/>
              </w:rPr>
            </w:pPr>
            <w:r w:rsidRPr="00847E24">
              <w:rPr>
                <w:rFonts w:ascii="Arial" w:hAnsi="Arial" w:cs="Arial"/>
                <w:sz w:val="18"/>
                <w:szCs w:val="18"/>
              </w:rPr>
              <w:t>Depreciation and amortisation</w:t>
            </w:r>
          </w:p>
        </w:tc>
        <w:tc>
          <w:tcPr>
            <w:tcW w:w="993" w:type="dxa"/>
            <w:tcBorders>
              <w:top w:val="nil"/>
              <w:left w:val="nil"/>
              <w:bottom w:val="nil"/>
              <w:right w:val="nil"/>
            </w:tcBorders>
            <w:shd w:val="clear" w:color="000000" w:fill="FFFFFF"/>
            <w:noWrap/>
            <w:vAlign w:val="bottom"/>
            <w:hideMark/>
          </w:tcPr>
          <w:p w14:paraId="12E641ED"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w:t>
            </w:r>
          </w:p>
        </w:tc>
        <w:tc>
          <w:tcPr>
            <w:tcW w:w="992" w:type="dxa"/>
            <w:tcBorders>
              <w:top w:val="nil"/>
              <w:left w:val="nil"/>
              <w:bottom w:val="nil"/>
              <w:right w:val="nil"/>
            </w:tcBorders>
            <w:shd w:val="clear" w:color="000000" w:fill="FFFFFF"/>
            <w:noWrap/>
            <w:vAlign w:val="bottom"/>
            <w:hideMark/>
          </w:tcPr>
          <w:p w14:paraId="267BEE33"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w:t>
            </w:r>
          </w:p>
        </w:tc>
        <w:tc>
          <w:tcPr>
            <w:tcW w:w="992" w:type="dxa"/>
            <w:tcBorders>
              <w:top w:val="nil"/>
              <w:left w:val="nil"/>
              <w:bottom w:val="nil"/>
              <w:right w:val="nil"/>
            </w:tcBorders>
            <w:shd w:val="clear" w:color="000000" w:fill="FFFFFF"/>
            <w:noWrap/>
            <w:vAlign w:val="bottom"/>
            <w:hideMark/>
          </w:tcPr>
          <w:p w14:paraId="7B6DF0D7"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w:t>
            </w:r>
          </w:p>
        </w:tc>
        <w:tc>
          <w:tcPr>
            <w:tcW w:w="1067" w:type="dxa"/>
            <w:tcBorders>
              <w:top w:val="nil"/>
              <w:left w:val="nil"/>
              <w:bottom w:val="nil"/>
              <w:right w:val="nil"/>
            </w:tcBorders>
            <w:shd w:val="clear" w:color="000000" w:fill="FFFFFF"/>
            <w:noWrap/>
            <w:vAlign w:val="bottom"/>
            <w:hideMark/>
          </w:tcPr>
          <w:p w14:paraId="43BD71E6"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(0)</w:t>
            </w:r>
          </w:p>
        </w:tc>
        <w:tc>
          <w:tcPr>
            <w:tcW w:w="992" w:type="dxa"/>
            <w:gridSpan w:val="2"/>
            <w:tcBorders>
              <w:top w:val="nil"/>
              <w:left w:val="nil"/>
              <w:bottom w:val="nil"/>
              <w:right w:val="nil"/>
            </w:tcBorders>
            <w:shd w:val="clear" w:color="000000" w:fill="FFFFFF"/>
            <w:noWrap/>
            <w:vAlign w:val="bottom"/>
            <w:hideMark/>
          </w:tcPr>
          <w:p w14:paraId="55C75FE4"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0B714DE7" w14:textId="77777777" w:rsidTr="00C0691D">
        <w:trPr>
          <w:trHeight w:val="285"/>
        </w:trPr>
        <w:tc>
          <w:tcPr>
            <w:tcW w:w="3969" w:type="dxa"/>
            <w:tcBorders>
              <w:top w:val="nil"/>
              <w:left w:val="nil"/>
              <w:bottom w:val="nil"/>
              <w:right w:val="nil"/>
            </w:tcBorders>
            <w:shd w:val="clear" w:color="000000" w:fill="FFFFFF"/>
            <w:vAlign w:val="bottom"/>
            <w:hideMark/>
          </w:tcPr>
          <w:p w14:paraId="63E980FC"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Total Expenses from Continuing Operations</w:t>
            </w:r>
          </w:p>
        </w:tc>
        <w:tc>
          <w:tcPr>
            <w:tcW w:w="993" w:type="dxa"/>
            <w:tcBorders>
              <w:top w:val="nil"/>
              <w:left w:val="nil"/>
              <w:bottom w:val="nil"/>
              <w:right w:val="nil"/>
            </w:tcBorders>
            <w:shd w:val="clear" w:color="000000" w:fill="FFFFFF"/>
            <w:noWrap/>
            <w:vAlign w:val="bottom"/>
            <w:hideMark/>
          </w:tcPr>
          <w:p w14:paraId="10063FA2"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1,029</w:t>
            </w:r>
          </w:p>
        </w:tc>
        <w:tc>
          <w:tcPr>
            <w:tcW w:w="992" w:type="dxa"/>
            <w:tcBorders>
              <w:top w:val="nil"/>
              <w:left w:val="nil"/>
              <w:bottom w:val="nil"/>
              <w:right w:val="nil"/>
            </w:tcBorders>
            <w:shd w:val="clear" w:color="000000" w:fill="FFFFFF"/>
            <w:noWrap/>
            <w:vAlign w:val="bottom"/>
            <w:hideMark/>
          </w:tcPr>
          <w:p w14:paraId="5AC3D589"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1,181</w:t>
            </w:r>
          </w:p>
        </w:tc>
        <w:tc>
          <w:tcPr>
            <w:tcW w:w="992" w:type="dxa"/>
            <w:tcBorders>
              <w:top w:val="nil"/>
              <w:left w:val="nil"/>
              <w:bottom w:val="nil"/>
              <w:right w:val="nil"/>
            </w:tcBorders>
            <w:shd w:val="clear" w:color="000000" w:fill="FFFFFF"/>
            <w:noWrap/>
            <w:vAlign w:val="bottom"/>
            <w:hideMark/>
          </w:tcPr>
          <w:p w14:paraId="25E3BEA4"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1,087</w:t>
            </w:r>
          </w:p>
        </w:tc>
        <w:tc>
          <w:tcPr>
            <w:tcW w:w="1067" w:type="dxa"/>
            <w:tcBorders>
              <w:top w:val="nil"/>
              <w:left w:val="nil"/>
              <w:bottom w:val="nil"/>
              <w:right w:val="nil"/>
            </w:tcBorders>
            <w:shd w:val="clear" w:color="000000" w:fill="FFFFFF"/>
            <w:noWrap/>
            <w:vAlign w:val="bottom"/>
            <w:hideMark/>
          </w:tcPr>
          <w:p w14:paraId="2D155333" w14:textId="77777777" w:rsidR="00C0691D" w:rsidRPr="00847E24" w:rsidRDefault="00C0691D" w:rsidP="0010645C">
            <w:pPr>
              <w:jc w:val="right"/>
              <w:rPr>
                <w:rFonts w:ascii="Arial" w:hAnsi="Arial" w:cs="Arial"/>
                <w:b/>
                <w:bCs/>
                <w:sz w:val="18"/>
                <w:szCs w:val="18"/>
              </w:rPr>
            </w:pPr>
            <w:r w:rsidRPr="00847E24">
              <w:rPr>
                <w:rFonts w:ascii="Arial" w:hAnsi="Arial" w:cs="Arial"/>
                <w:b/>
                <w:bCs/>
                <w:sz w:val="18"/>
                <w:szCs w:val="18"/>
              </w:rPr>
              <w:t>(58)</w:t>
            </w:r>
          </w:p>
        </w:tc>
        <w:tc>
          <w:tcPr>
            <w:tcW w:w="992" w:type="dxa"/>
            <w:gridSpan w:val="2"/>
            <w:tcBorders>
              <w:top w:val="nil"/>
              <w:left w:val="nil"/>
              <w:bottom w:val="nil"/>
              <w:right w:val="nil"/>
            </w:tcBorders>
            <w:shd w:val="clear" w:color="000000" w:fill="FFFFFF"/>
            <w:noWrap/>
            <w:vAlign w:val="bottom"/>
            <w:hideMark/>
          </w:tcPr>
          <w:p w14:paraId="26259928"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0BCC8351" w14:textId="77777777" w:rsidTr="00C0691D">
        <w:trPr>
          <w:trHeight w:val="285"/>
        </w:trPr>
        <w:tc>
          <w:tcPr>
            <w:tcW w:w="3969" w:type="dxa"/>
            <w:tcBorders>
              <w:top w:val="nil"/>
              <w:left w:val="nil"/>
              <w:bottom w:val="nil"/>
              <w:right w:val="nil"/>
            </w:tcBorders>
            <w:shd w:val="clear" w:color="000000" w:fill="FFFFFF"/>
            <w:noWrap/>
            <w:vAlign w:val="bottom"/>
            <w:hideMark/>
          </w:tcPr>
          <w:p w14:paraId="14C65D81"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3" w:type="dxa"/>
            <w:tcBorders>
              <w:top w:val="nil"/>
              <w:left w:val="nil"/>
              <w:bottom w:val="nil"/>
              <w:right w:val="nil"/>
            </w:tcBorders>
            <w:shd w:val="clear" w:color="000000" w:fill="FFFFFF"/>
            <w:noWrap/>
            <w:vAlign w:val="bottom"/>
            <w:hideMark/>
          </w:tcPr>
          <w:p w14:paraId="18FDD563"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5CF0014B"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7E6E7B46"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1067" w:type="dxa"/>
            <w:tcBorders>
              <w:top w:val="nil"/>
              <w:left w:val="nil"/>
              <w:bottom w:val="nil"/>
              <w:right w:val="nil"/>
            </w:tcBorders>
            <w:shd w:val="clear" w:color="000000" w:fill="FFFFFF"/>
            <w:noWrap/>
            <w:vAlign w:val="bottom"/>
            <w:hideMark/>
          </w:tcPr>
          <w:p w14:paraId="6F7C353F"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gridSpan w:val="2"/>
            <w:tcBorders>
              <w:top w:val="nil"/>
              <w:left w:val="nil"/>
              <w:bottom w:val="nil"/>
              <w:right w:val="nil"/>
            </w:tcBorders>
            <w:shd w:val="clear" w:color="000000" w:fill="FFFFFF"/>
            <w:noWrap/>
            <w:vAlign w:val="bottom"/>
            <w:hideMark/>
          </w:tcPr>
          <w:p w14:paraId="0B13A5CE"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663CA2F7" w14:textId="77777777" w:rsidTr="00C0691D">
        <w:trPr>
          <w:trHeight w:val="293"/>
        </w:trPr>
        <w:tc>
          <w:tcPr>
            <w:tcW w:w="3969" w:type="dxa"/>
            <w:tcBorders>
              <w:top w:val="nil"/>
              <w:left w:val="nil"/>
              <w:bottom w:val="nil"/>
              <w:right w:val="nil"/>
            </w:tcBorders>
            <w:shd w:val="clear" w:color="000000" w:fill="FFFFFF"/>
            <w:vAlign w:val="bottom"/>
            <w:hideMark/>
          </w:tcPr>
          <w:p w14:paraId="3FD665BC"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Operating Result for the Year</w:t>
            </w:r>
          </w:p>
        </w:tc>
        <w:tc>
          <w:tcPr>
            <w:tcW w:w="993" w:type="dxa"/>
            <w:tcBorders>
              <w:top w:val="single" w:sz="4" w:space="0" w:color="auto"/>
              <w:left w:val="nil"/>
              <w:bottom w:val="double" w:sz="6" w:space="0" w:color="auto"/>
              <w:right w:val="nil"/>
            </w:tcBorders>
            <w:shd w:val="clear" w:color="000000" w:fill="FFFFFF"/>
            <w:noWrap/>
            <w:vAlign w:val="bottom"/>
            <w:hideMark/>
          </w:tcPr>
          <w:p w14:paraId="1F09B6B0"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62</w:t>
            </w:r>
          </w:p>
        </w:tc>
        <w:tc>
          <w:tcPr>
            <w:tcW w:w="992" w:type="dxa"/>
            <w:tcBorders>
              <w:top w:val="single" w:sz="4" w:space="0" w:color="auto"/>
              <w:left w:val="nil"/>
              <w:bottom w:val="double" w:sz="6" w:space="0" w:color="auto"/>
              <w:right w:val="nil"/>
            </w:tcBorders>
            <w:shd w:val="clear" w:color="000000" w:fill="FFFFFF"/>
            <w:noWrap/>
            <w:vAlign w:val="bottom"/>
            <w:hideMark/>
          </w:tcPr>
          <w:p w14:paraId="52B24C29"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111</w:t>
            </w:r>
          </w:p>
        </w:tc>
        <w:tc>
          <w:tcPr>
            <w:tcW w:w="992" w:type="dxa"/>
            <w:tcBorders>
              <w:top w:val="single" w:sz="4" w:space="0" w:color="auto"/>
              <w:left w:val="nil"/>
              <w:bottom w:val="double" w:sz="6" w:space="0" w:color="auto"/>
              <w:right w:val="nil"/>
            </w:tcBorders>
            <w:shd w:val="clear" w:color="000000" w:fill="FFFFFF"/>
            <w:noWrap/>
            <w:vAlign w:val="bottom"/>
            <w:hideMark/>
          </w:tcPr>
          <w:p w14:paraId="1D20B303" w14:textId="706DD6F5"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1067" w:type="dxa"/>
            <w:tcBorders>
              <w:top w:val="single" w:sz="4" w:space="0" w:color="auto"/>
              <w:left w:val="nil"/>
              <w:bottom w:val="double" w:sz="6" w:space="0" w:color="auto"/>
              <w:right w:val="nil"/>
            </w:tcBorders>
            <w:shd w:val="clear" w:color="000000" w:fill="FFFFFF"/>
            <w:noWrap/>
            <w:vAlign w:val="bottom"/>
            <w:hideMark/>
          </w:tcPr>
          <w:p w14:paraId="0A804612"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62</w:t>
            </w:r>
          </w:p>
        </w:tc>
        <w:tc>
          <w:tcPr>
            <w:tcW w:w="992" w:type="dxa"/>
            <w:gridSpan w:val="2"/>
            <w:tcBorders>
              <w:top w:val="nil"/>
              <w:left w:val="nil"/>
              <w:bottom w:val="nil"/>
              <w:right w:val="nil"/>
            </w:tcBorders>
            <w:shd w:val="clear" w:color="000000" w:fill="FFFFFF"/>
            <w:noWrap/>
            <w:vAlign w:val="bottom"/>
            <w:hideMark/>
          </w:tcPr>
          <w:p w14:paraId="760CDB0E"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227FDBF0" w14:textId="77777777" w:rsidTr="00C0691D">
        <w:trPr>
          <w:trHeight w:val="293"/>
        </w:trPr>
        <w:tc>
          <w:tcPr>
            <w:tcW w:w="3969" w:type="dxa"/>
            <w:tcBorders>
              <w:top w:val="nil"/>
              <w:left w:val="nil"/>
              <w:bottom w:val="nil"/>
              <w:right w:val="nil"/>
            </w:tcBorders>
            <w:shd w:val="clear" w:color="000000" w:fill="FFFFFF"/>
            <w:vAlign w:val="bottom"/>
            <w:hideMark/>
          </w:tcPr>
          <w:p w14:paraId="3F44D9BD"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OTHER COMPREHENSIVE INCOME</w:t>
            </w:r>
          </w:p>
        </w:tc>
        <w:tc>
          <w:tcPr>
            <w:tcW w:w="993" w:type="dxa"/>
            <w:tcBorders>
              <w:top w:val="nil"/>
              <w:left w:val="nil"/>
              <w:bottom w:val="nil"/>
              <w:right w:val="nil"/>
            </w:tcBorders>
            <w:shd w:val="clear" w:color="000000" w:fill="FFFFFF"/>
            <w:noWrap/>
            <w:vAlign w:val="bottom"/>
            <w:hideMark/>
          </w:tcPr>
          <w:p w14:paraId="4F61F2BD" w14:textId="64DF801E"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tcBorders>
              <w:top w:val="nil"/>
              <w:left w:val="nil"/>
              <w:bottom w:val="nil"/>
              <w:right w:val="nil"/>
            </w:tcBorders>
            <w:shd w:val="clear" w:color="000000" w:fill="FFFFFF"/>
            <w:noWrap/>
            <w:vAlign w:val="bottom"/>
            <w:hideMark/>
          </w:tcPr>
          <w:p w14:paraId="7BAA16A5" w14:textId="3DF3BD9C"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tcBorders>
              <w:top w:val="nil"/>
              <w:left w:val="nil"/>
              <w:bottom w:val="nil"/>
              <w:right w:val="nil"/>
            </w:tcBorders>
            <w:shd w:val="clear" w:color="000000" w:fill="FFFFFF"/>
            <w:noWrap/>
            <w:vAlign w:val="bottom"/>
            <w:hideMark/>
          </w:tcPr>
          <w:p w14:paraId="4733BDEA" w14:textId="712CF180"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1067" w:type="dxa"/>
            <w:tcBorders>
              <w:top w:val="nil"/>
              <w:left w:val="nil"/>
              <w:bottom w:val="nil"/>
              <w:right w:val="nil"/>
            </w:tcBorders>
            <w:shd w:val="clear" w:color="000000" w:fill="FFFFFF"/>
            <w:noWrap/>
            <w:vAlign w:val="bottom"/>
            <w:hideMark/>
          </w:tcPr>
          <w:p w14:paraId="27098B28" w14:textId="15E879E2"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992" w:type="dxa"/>
            <w:gridSpan w:val="2"/>
            <w:tcBorders>
              <w:top w:val="nil"/>
              <w:left w:val="nil"/>
              <w:bottom w:val="nil"/>
              <w:right w:val="nil"/>
            </w:tcBorders>
            <w:shd w:val="clear" w:color="000000" w:fill="FFFFFF"/>
            <w:noWrap/>
            <w:vAlign w:val="bottom"/>
            <w:hideMark/>
          </w:tcPr>
          <w:p w14:paraId="342C4C82"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3C0EB67C" w14:textId="77777777" w:rsidTr="00C0691D">
        <w:trPr>
          <w:trHeight w:val="293"/>
        </w:trPr>
        <w:tc>
          <w:tcPr>
            <w:tcW w:w="3969" w:type="dxa"/>
            <w:tcBorders>
              <w:top w:val="nil"/>
              <w:left w:val="nil"/>
              <w:bottom w:val="nil"/>
              <w:right w:val="nil"/>
            </w:tcBorders>
            <w:shd w:val="clear" w:color="000000" w:fill="FFFFFF"/>
            <w:noWrap/>
            <w:vAlign w:val="bottom"/>
            <w:hideMark/>
          </w:tcPr>
          <w:p w14:paraId="1E254F52"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TOTAL COMPREHENSIVE INCOME</w:t>
            </w:r>
          </w:p>
        </w:tc>
        <w:tc>
          <w:tcPr>
            <w:tcW w:w="993" w:type="dxa"/>
            <w:tcBorders>
              <w:top w:val="single" w:sz="4" w:space="0" w:color="auto"/>
              <w:left w:val="nil"/>
              <w:bottom w:val="double" w:sz="6" w:space="0" w:color="auto"/>
              <w:right w:val="nil"/>
            </w:tcBorders>
            <w:shd w:val="clear" w:color="000000" w:fill="FFFFFF"/>
            <w:noWrap/>
            <w:vAlign w:val="bottom"/>
            <w:hideMark/>
          </w:tcPr>
          <w:p w14:paraId="1860BB0F"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62</w:t>
            </w:r>
          </w:p>
        </w:tc>
        <w:tc>
          <w:tcPr>
            <w:tcW w:w="992" w:type="dxa"/>
            <w:tcBorders>
              <w:top w:val="single" w:sz="4" w:space="0" w:color="auto"/>
              <w:left w:val="nil"/>
              <w:bottom w:val="double" w:sz="6" w:space="0" w:color="auto"/>
              <w:right w:val="nil"/>
            </w:tcBorders>
            <w:shd w:val="clear" w:color="000000" w:fill="FFFFFF"/>
            <w:noWrap/>
            <w:vAlign w:val="bottom"/>
            <w:hideMark/>
          </w:tcPr>
          <w:p w14:paraId="51F4DFC0"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111</w:t>
            </w:r>
          </w:p>
        </w:tc>
        <w:tc>
          <w:tcPr>
            <w:tcW w:w="992" w:type="dxa"/>
            <w:tcBorders>
              <w:top w:val="single" w:sz="4" w:space="0" w:color="auto"/>
              <w:left w:val="nil"/>
              <w:bottom w:val="double" w:sz="6" w:space="0" w:color="auto"/>
              <w:right w:val="nil"/>
            </w:tcBorders>
            <w:shd w:val="clear" w:color="000000" w:fill="FFFFFF"/>
            <w:noWrap/>
            <w:vAlign w:val="bottom"/>
            <w:hideMark/>
          </w:tcPr>
          <w:p w14:paraId="3A38B685" w14:textId="002D906B" w:rsidR="00C0691D" w:rsidRPr="00847E24" w:rsidRDefault="00C0691D" w:rsidP="00C0691D">
            <w:pPr>
              <w:jc w:val="right"/>
              <w:rPr>
                <w:rFonts w:ascii="Arial" w:hAnsi="Arial" w:cs="Arial"/>
                <w:sz w:val="18"/>
                <w:szCs w:val="18"/>
              </w:rPr>
            </w:pPr>
            <w:r w:rsidRPr="00847E24">
              <w:rPr>
                <w:rFonts w:ascii="Arial" w:hAnsi="Arial" w:cs="Arial"/>
                <w:sz w:val="18"/>
                <w:szCs w:val="18"/>
              </w:rPr>
              <w:t>-</w:t>
            </w:r>
          </w:p>
        </w:tc>
        <w:tc>
          <w:tcPr>
            <w:tcW w:w="1067" w:type="dxa"/>
            <w:tcBorders>
              <w:top w:val="single" w:sz="4" w:space="0" w:color="auto"/>
              <w:left w:val="nil"/>
              <w:bottom w:val="double" w:sz="6" w:space="0" w:color="auto"/>
              <w:right w:val="nil"/>
            </w:tcBorders>
            <w:shd w:val="clear" w:color="000000" w:fill="FFFFFF"/>
            <w:noWrap/>
            <w:vAlign w:val="bottom"/>
            <w:hideMark/>
          </w:tcPr>
          <w:p w14:paraId="2CBEEA21" w14:textId="77777777" w:rsidR="00C0691D" w:rsidRPr="00847E24" w:rsidRDefault="00C0691D" w:rsidP="0010645C">
            <w:pPr>
              <w:jc w:val="right"/>
              <w:rPr>
                <w:rFonts w:ascii="Arial" w:hAnsi="Arial" w:cs="Arial"/>
                <w:sz w:val="18"/>
                <w:szCs w:val="18"/>
              </w:rPr>
            </w:pPr>
            <w:r w:rsidRPr="00847E24">
              <w:rPr>
                <w:rFonts w:ascii="Arial" w:hAnsi="Arial" w:cs="Arial"/>
                <w:sz w:val="18"/>
                <w:szCs w:val="18"/>
              </w:rPr>
              <w:t>62</w:t>
            </w:r>
          </w:p>
        </w:tc>
        <w:tc>
          <w:tcPr>
            <w:tcW w:w="992" w:type="dxa"/>
            <w:gridSpan w:val="2"/>
            <w:tcBorders>
              <w:top w:val="nil"/>
              <w:left w:val="nil"/>
              <w:bottom w:val="nil"/>
              <w:right w:val="nil"/>
            </w:tcBorders>
            <w:shd w:val="clear" w:color="000000" w:fill="FFFFFF"/>
            <w:noWrap/>
            <w:vAlign w:val="bottom"/>
            <w:hideMark/>
          </w:tcPr>
          <w:p w14:paraId="3328B75A"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39821BAF" w14:textId="77777777" w:rsidTr="00C0691D">
        <w:trPr>
          <w:trHeight w:val="293"/>
        </w:trPr>
        <w:tc>
          <w:tcPr>
            <w:tcW w:w="3969" w:type="dxa"/>
            <w:tcBorders>
              <w:top w:val="nil"/>
              <w:left w:val="nil"/>
              <w:bottom w:val="nil"/>
              <w:right w:val="nil"/>
            </w:tcBorders>
            <w:shd w:val="clear" w:color="000000" w:fill="FFFFFF"/>
            <w:noWrap/>
            <w:vAlign w:val="bottom"/>
            <w:hideMark/>
          </w:tcPr>
          <w:p w14:paraId="1B7B9521"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3" w:type="dxa"/>
            <w:tcBorders>
              <w:top w:val="nil"/>
              <w:left w:val="nil"/>
              <w:bottom w:val="nil"/>
              <w:right w:val="nil"/>
            </w:tcBorders>
            <w:shd w:val="clear" w:color="000000" w:fill="FFFFFF"/>
            <w:noWrap/>
            <w:vAlign w:val="bottom"/>
            <w:hideMark/>
          </w:tcPr>
          <w:p w14:paraId="6F14E3E9"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 </w:t>
            </w:r>
          </w:p>
        </w:tc>
        <w:tc>
          <w:tcPr>
            <w:tcW w:w="992" w:type="dxa"/>
            <w:tcBorders>
              <w:top w:val="nil"/>
              <w:left w:val="nil"/>
              <w:bottom w:val="nil"/>
              <w:right w:val="nil"/>
            </w:tcBorders>
            <w:shd w:val="clear" w:color="000000" w:fill="FFFFFF"/>
            <w:noWrap/>
            <w:vAlign w:val="bottom"/>
            <w:hideMark/>
          </w:tcPr>
          <w:p w14:paraId="0F784215"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 </w:t>
            </w:r>
          </w:p>
        </w:tc>
        <w:tc>
          <w:tcPr>
            <w:tcW w:w="992" w:type="dxa"/>
            <w:tcBorders>
              <w:top w:val="nil"/>
              <w:left w:val="nil"/>
              <w:bottom w:val="nil"/>
              <w:right w:val="nil"/>
            </w:tcBorders>
            <w:shd w:val="clear" w:color="000000" w:fill="FFFFFF"/>
            <w:noWrap/>
            <w:vAlign w:val="bottom"/>
            <w:hideMark/>
          </w:tcPr>
          <w:p w14:paraId="138BCA6A"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 </w:t>
            </w:r>
          </w:p>
        </w:tc>
        <w:tc>
          <w:tcPr>
            <w:tcW w:w="1067" w:type="dxa"/>
            <w:tcBorders>
              <w:top w:val="nil"/>
              <w:left w:val="nil"/>
              <w:bottom w:val="nil"/>
              <w:right w:val="nil"/>
            </w:tcBorders>
            <w:shd w:val="clear" w:color="000000" w:fill="FFFFFF"/>
            <w:noWrap/>
            <w:vAlign w:val="bottom"/>
            <w:hideMark/>
          </w:tcPr>
          <w:p w14:paraId="74E1137B" w14:textId="77777777" w:rsidR="00C0691D" w:rsidRPr="00847E24" w:rsidRDefault="00C0691D" w:rsidP="0010645C">
            <w:pPr>
              <w:rPr>
                <w:rFonts w:ascii="Arial" w:hAnsi="Arial" w:cs="Arial"/>
                <w:b/>
                <w:bCs/>
                <w:sz w:val="18"/>
                <w:szCs w:val="18"/>
              </w:rPr>
            </w:pPr>
            <w:r w:rsidRPr="00847E24">
              <w:rPr>
                <w:rFonts w:ascii="Arial" w:hAnsi="Arial" w:cs="Arial"/>
                <w:b/>
                <w:bCs/>
                <w:sz w:val="18"/>
                <w:szCs w:val="18"/>
              </w:rPr>
              <w:t> </w:t>
            </w:r>
          </w:p>
        </w:tc>
        <w:tc>
          <w:tcPr>
            <w:tcW w:w="992" w:type="dxa"/>
            <w:gridSpan w:val="2"/>
            <w:tcBorders>
              <w:top w:val="nil"/>
              <w:left w:val="nil"/>
              <w:bottom w:val="nil"/>
              <w:right w:val="nil"/>
            </w:tcBorders>
            <w:shd w:val="clear" w:color="000000" w:fill="FFFFFF"/>
            <w:noWrap/>
            <w:vAlign w:val="bottom"/>
            <w:hideMark/>
          </w:tcPr>
          <w:p w14:paraId="79B540C1"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4247B147" w14:textId="77777777" w:rsidTr="00C0691D">
        <w:trPr>
          <w:trHeight w:val="285"/>
        </w:trPr>
        <w:tc>
          <w:tcPr>
            <w:tcW w:w="3969" w:type="dxa"/>
            <w:tcBorders>
              <w:top w:val="nil"/>
              <w:left w:val="nil"/>
              <w:bottom w:val="nil"/>
              <w:right w:val="nil"/>
            </w:tcBorders>
            <w:shd w:val="clear" w:color="000000" w:fill="FFFFFF"/>
            <w:noWrap/>
            <w:vAlign w:val="bottom"/>
            <w:hideMark/>
          </w:tcPr>
          <w:p w14:paraId="4F6CCDE2" w14:textId="77777777" w:rsidR="00C0691D" w:rsidRPr="00847E24" w:rsidRDefault="00C0691D" w:rsidP="009E0691">
            <w:pPr>
              <w:jc w:val="left"/>
              <w:rPr>
                <w:rFonts w:ascii="Arial" w:hAnsi="Arial" w:cs="Arial"/>
                <w:i/>
                <w:iCs/>
                <w:sz w:val="18"/>
                <w:szCs w:val="18"/>
              </w:rPr>
            </w:pPr>
            <w:r w:rsidRPr="00847E24">
              <w:rPr>
                <w:rFonts w:ascii="Arial" w:hAnsi="Arial" w:cs="Arial"/>
                <w:i/>
                <w:iCs/>
                <w:sz w:val="18"/>
                <w:szCs w:val="18"/>
              </w:rPr>
              <w:t>The accompanying notes form part of these statements.</w:t>
            </w:r>
          </w:p>
        </w:tc>
        <w:tc>
          <w:tcPr>
            <w:tcW w:w="993" w:type="dxa"/>
            <w:tcBorders>
              <w:top w:val="nil"/>
              <w:left w:val="nil"/>
              <w:bottom w:val="nil"/>
              <w:right w:val="nil"/>
            </w:tcBorders>
            <w:shd w:val="clear" w:color="000000" w:fill="FFFFFF"/>
            <w:noWrap/>
            <w:vAlign w:val="bottom"/>
            <w:hideMark/>
          </w:tcPr>
          <w:p w14:paraId="1C23319E"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0D333E10"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tcBorders>
              <w:top w:val="nil"/>
              <w:left w:val="nil"/>
              <w:bottom w:val="nil"/>
              <w:right w:val="nil"/>
            </w:tcBorders>
            <w:shd w:val="clear" w:color="000000" w:fill="FFFFFF"/>
            <w:noWrap/>
            <w:vAlign w:val="bottom"/>
            <w:hideMark/>
          </w:tcPr>
          <w:p w14:paraId="01E0A01E"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1067" w:type="dxa"/>
            <w:tcBorders>
              <w:top w:val="nil"/>
              <w:left w:val="nil"/>
              <w:bottom w:val="nil"/>
              <w:right w:val="nil"/>
            </w:tcBorders>
            <w:shd w:val="clear" w:color="000000" w:fill="FFFFFF"/>
            <w:noWrap/>
            <w:vAlign w:val="bottom"/>
            <w:hideMark/>
          </w:tcPr>
          <w:p w14:paraId="216B4A22" w14:textId="77777777" w:rsidR="00C0691D" w:rsidRPr="00847E24" w:rsidRDefault="00C0691D" w:rsidP="0010645C">
            <w:pPr>
              <w:rPr>
                <w:rFonts w:ascii="Arial" w:hAnsi="Arial" w:cs="Arial"/>
                <w:sz w:val="18"/>
                <w:szCs w:val="18"/>
              </w:rPr>
            </w:pPr>
            <w:r w:rsidRPr="00847E24">
              <w:rPr>
                <w:rFonts w:ascii="Arial" w:hAnsi="Arial" w:cs="Arial"/>
                <w:sz w:val="18"/>
                <w:szCs w:val="18"/>
              </w:rPr>
              <w:t> </w:t>
            </w:r>
          </w:p>
        </w:tc>
        <w:tc>
          <w:tcPr>
            <w:tcW w:w="992" w:type="dxa"/>
            <w:gridSpan w:val="2"/>
            <w:tcBorders>
              <w:top w:val="nil"/>
              <w:left w:val="nil"/>
              <w:bottom w:val="nil"/>
              <w:right w:val="nil"/>
            </w:tcBorders>
            <w:shd w:val="clear" w:color="000000" w:fill="FFFFFF"/>
            <w:noWrap/>
            <w:vAlign w:val="bottom"/>
            <w:hideMark/>
          </w:tcPr>
          <w:p w14:paraId="2C07CCC7" w14:textId="77777777" w:rsidR="00C0691D" w:rsidRPr="00847E24" w:rsidRDefault="00C0691D" w:rsidP="0010645C">
            <w:pPr>
              <w:jc w:val="center"/>
              <w:rPr>
                <w:rFonts w:ascii="Arial" w:hAnsi="Arial" w:cs="Arial"/>
                <w:sz w:val="18"/>
                <w:szCs w:val="18"/>
              </w:rPr>
            </w:pPr>
            <w:r w:rsidRPr="00847E24">
              <w:rPr>
                <w:rFonts w:ascii="Arial" w:hAnsi="Arial" w:cs="Arial"/>
                <w:sz w:val="18"/>
                <w:szCs w:val="18"/>
              </w:rPr>
              <w:t> </w:t>
            </w:r>
          </w:p>
        </w:tc>
      </w:tr>
      <w:tr w:rsidR="00C0691D" w:rsidRPr="00847E24" w14:paraId="093B2099" w14:textId="77777777" w:rsidTr="00C0691D">
        <w:trPr>
          <w:trHeight w:val="285"/>
        </w:trPr>
        <w:tc>
          <w:tcPr>
            <w:tcW w:w="3969" w:type="dxa"/>
            <w:tcBorders>
              <w:top w:val="nil"/>
              <w:left w:val="nil"/>
              <w:bottom w:val="nil"/>
              <w:right w:val="nil"/>
            </w:tcBorders>
            <w:shd w:val="clear" w:color="000000" w:fill="FFFFFF"/>
            <w:noWrap/>
            <w:vAlign w:val="bottom"/>
            <w:hideMark/>
          </w:tcPr>
          <w:p w14:paraId="5368D978"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3" w:type="dxa"/>
            <w:tcBorders>
              <w:top w:val="nil"/>
              <w:left w:val="nil"/>
              <w:bottom w:val="nil"/>
              <w:right w:val="nil"/>
            </w:tcBorders>
            <w:shd w:val="clear" w:color="000000" w:fill="FFFFFF"/>
            <w:noWrap/>
            <w:vAlign w:val="bottom"/>
            <w:hideMark/>
          </w:tcPr>
          <w:p w14:paraId="786BA0EA"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2" w:type="dxa"/>
            <w:tcBorders>
              <w:top w:val="nil"/>
              <w:left w:val="nil"/>
              <w:bottom w:val="nil"/>
              <w:right w:val="nil"/>
            </w:tcBorders>
            <w:shd w:val="clear" w:color="000000" w:fill="FFFFFF"/>
            <w:noWrap/>
            <w:vAlign w:val="bottom"/>
            <w:hideMark/>
          </w:tcPr>
          <w:p w14:paraId="5409266B"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2" w:type="dxa"/>
            <w:tcBorders>
              <w:top w:val="nil"/>
              <w:left w:val="nil"/>
              <w:bottom w:val="nil"/>
              <w:right w:val="nil"/>
            </w:tcBorders>
            <w:shd w:val="clear" w:color="000000" w:fill="FFFFFF"/>
            <w:noWrap/>
            <w:vAlign w:val="bottom"/>
            <w:hideMark/>
          </w:tcPr>
          <w:p w14:paraId="7E13C8FC"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1067" w:type="dxa"/>
            <w:tcBorders>
              <w:top w:val="nil"/>
              <w:left w:val="nil"/>
              <w:bottom w:val="nil"/>
              <w:right w:val="nil"/>
            </w:tcBorders>
            <w:shd w:val="clear" w:color="000000" w:fill="FFFFFF"/>
            <w:noWrap/>
            <w:vAlign w:val="bottom"/>
            <w:hideMark/>
          </w:tcPr>
          <w:p w14:paraId="58125DE3"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2" w:type="dxa"/>
            <w:gridSpan w:val="2"/>
            <w:tcBorders>
              <w:top w:val="nil"/>
              <w:left w:val="nil"/>
              <w:bottom w:val="nil"/>
              <w:right w:val="nil"/>
            </w:tcBorders>
            <w:shd w:val="clear" w:color="000000" w:fill="FFFFFF"/>
            <w:noWrap/>
            <w:vAlign w:val="bottom"/>
            <w:hideMark/>
          </w:tcPr>
          <w:p w14:paraId="53A8AE7F"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r>
      <w:tr w:rsidR="00C0691D" w:rsidRPr="00847E24" w14:paraId="1739F913" w14:textId="77777777" w:rsidTr="00C0691D">
        <w:trPr>
          <w:trHeight w:val="285"/>
        </w:trPr>
        <w:tc>
          <w:tcPr>
            <w:tcW w:w="3969" w:type="dxa"/>
            <w:tcBorders>
              <w:top w:val="nil"/>
              <w:left w:val="nil"/>
              <w:bottom w:val="nil"/>
              <w:right w:val="nil"/>
            </w:tcBorders>
            <w:shd w:val="clear" w:color="000000" w:fill="FFFFFF"/>
            <w:noWrap/>
            <w:vAlign w:val="bottom"/>
            <w:hideMark/>
          </w:tcPr>
          <w:p w14:paraId="3C5E349F" w14:textId="77777777" w:rsidR="00C0691D" w:rsidRPr="00847E24" w:rsidRDefault="00C0691D" w:rsidP="0010645C">
            <w:pPr>
              <w:rPr>
                <w:rFonts w:ascii="Arial" w:hAnsi="Arial" w:cs="Arial"/>
                <w:b/>
                <w:bCs/>
                <w:color w:val="000000"/>
                <w:szCs w:val="20"/>
              </w:rPr>
            </w:pPr>
            <w:r w:rsidRPr="00847E24">
              <w:rPr>
                <w:rFonts w:ascii="Arial" w:hAnsi="Arial" w:cs="Arial"/>
                <w:b/>
                <w:bCs/>
                <w:color w:val="000000"/>
                <w:szCs w:val="20"/>
              </w:rPr>
              <w:t>Explanation of major budget variances</w:t>
            </w:r>
          </w:p>
        </w:tc>
        <w:tc>
          <w:tcPr>
            <w:tcW w:w="993" w:type="dxa"/>
            <w:tcBorders>
              <w:top w:val="nil"/>
              <w:left w:val="nil"/>
              <w:bottom w:val="nil"/>
              <w:right w:val="nil"/>
            </w:tcBorders>
            <w:shd w:val="clear" w:color="000000" w:fill="FFFFFF"/>
            <w:noWrap/>
            <w:vAlign w:val="bottom"/>
            <w:hideMark/>
          </w:tcPr>
          <w:p w14:paraId="05158398"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2" w:type="dxa"/>
            <w:tcBorders>
              <w:top w:val="nil"/>
              <w:left w:val="nil"/>
              <w:bottom w:val="nil"/>
              <w:right w:val="nil"/>
            </w:tcBorders>
            <w:shd w:val="clear" w:color="000000" w:fill="FFFFFF"/>
            <w:noWrap/>
            <w:vAlign w:val="bottom"/>
            <w:hideMark/>
          </w:tcPr>
          <w:p w14:paraId="25660ACE"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2" w:type="dxa"/>
            <w:tcBorders>
              <w:top w:val="nil"/>
              <w:left w:val="nil"/>
              <w:bottom w:val="nil"/>
              <w:right w:val="nil"/>
            </w:tcBorders>
            <w:shd w:val="clear" w:color="000000" w:fill="FFFFFF"/>
            <w:noWrap/>
            <w:vAlign w:val="bottom"/>
            <w:hideMark/>
          </w:tcPr>
          <w:p w14:paraId="56B9373C"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1067" w:type="dxa"/>
            <w:tcBorders>
              <w:top w:val="nil"/>
              <w:left w:val="nil"/>
              <w:bottom w:val="nil"/>
              <w:right w:val="nil"/>
            </w:tcBorders>
            <w:shd w:val="clear" w:color="000000" w:fill="FFFFFF"/>
            <w:noWrap/>
            <w:vAlign w:val="bottom"/>
            <w:hideMark/>
          </w:tcPr>
          <w:p w14:paraId="1A88CDB1"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c>
          <w:tcPr>
            <w:tcW w:w="992" w:type="dxa"/>
            <w:gridSpan w:val="2"/>
            <w:tcBorders>
              <w:top w:val="nil"/>
              <w:left w:val="nil"/>
              <w:bottom w:val="nil"/>
              <w:right w:val="nil"/>
            </w:tcBorders>
            <w:shd w:val="clear" w:color="000000" w:fill="FFFFFF"/>
            <w:noWrap/>
            <w:vAlign w:val="bottom"/>
            <w:hideMark/>
          </w:tcPr>
          <w:p w14:paraId="0D47D16D" w14:textId="77777777" w:rsidR="00C0691D" w:rsidRPr="00847E24" w:rsidRDefault="00C0691D" w:rsidP="0010645C">
            <w:pPr>
              <w:rPr>
                <w:rFonts w:ascii="Calibri" w:hAnsi="Calibri" w:cs="Calibri"/>
                <w:color w:val="000000"/>
              </w:rPr>
            </w:pPr>
            <w:r w:rsidRPr="00847E24">
              <w:rPr>
                <w:rFonts w:ascii="Calibri" w:hAnsi="Calibri" w:cs="Calibri"/>
                <w:color w:val="000000"/>
              </w:rPr>
              <w:t> </w:t>
            </w:r>
          </w:p>
        </w:tc>
      </w:tr>
      <w:tr w:rsidR="00C0691D" w:rsidRPr="00847E24" w14:paraId="0F30546C" w14:textId="77777777" w:rsidTr="00C0691D">
        <w:trPr>
          <w:gridAfter w:val="1"/>
          <w:wAfter w:w="74" w:type="dxa"/>
          <w:trHeight w:val="285"/>
        </w:trPr>
        <w:tc>
          <w:tcPr>
            <w:tcW w:w="8931" w:type="dxa"/>
            <w:gridSpan w:val="6"/>
            <w:tcBorders>
              <w:top w:val="nil"/>
              <w:left w:val="nil"/>
              <w:bottom w:val="nil"/>
              <w:right w:val="nil"/>
            </w:tcBorders>
            <w:shd w:val="clear" w:color="000000" w:fill="FFFFFF"/>
            <w:hideMark/>
          </w:tcPr>
          <w:p w14:paraId="26150367" w14:textId="77777777" w:rsidR="00C0691D" w:rsidRPr="00847E24" w:rsidRDefault="00C0691D" w:rsidP="0010645C">
            <w:pPr>
              <w:rPr>
                <w:rFonts w:ascii="Arial" w:hAnsi="Arial" w:cs="Arial"/>
                <w:color w:val="000000"/>
                <w:sz w:val="18"/>
                <w:szCs w:val="18"/>
              </w:rPr>
            </w:pPr>
            <w:r w:rsidRPr="00847E24">
              <w:rPr>
                <w:rFonts w:ascii="Arial" w:hAnsi="Arial" w:cs="Arial"/>
                <w:color w:val="000000"/>
                <w:sz w:val="18"/>
                <w:szCs w:val="18"/>
              </w:rPr>
              <w:t>1. A decrease in Employee expenses primarily due to short-term vacancies during the financial year.</w:t>
            </w:r>
          </w:p>
        </w:tc>
      </w:tr>
      <w:tr w:rsidR="00C0691D" w:rsidRPr="00847E24" w14:paraId="05A97FF9" w14:textId="77777777" w:rsidTr="00C0691D">
        <w:trPr>
          <w:gridAfter w:val="1"/>
          <w:wAfter w:w="74" w:type="dxa"/>
          <w:trHeight w:val="280"/>
        </w:trPr>
        <w:tc>
          <w:tcPr>
            <w:tcW w:w="8931" w:type="dxa"/>
            <w:gridSpan w:val="6"/>
            <w:tcBorders>
              <w:top w:val="nil"/>
              <w:left w:val="nil"/>
              <w:bottom w:val="nil"/>
              <w:right w:val="nil"/>
            </w:tcBorders>
            <w:shd w:val="clear" w:color="000000" w:fill="FFFFFF"/>
            <w:hideMark/>
          </w:tcPr>
          <w:p w14:paraId="4C236A15" w14:textId="77777777" w:rsidR="00C0691D" w:rsidRPr="00847E24" w:rsidRDefault="00C0691D" w:rsidP="0010645C">
            <w:pPr>
              <w:rPr>
                <w:rFonts w:ascii="Arial" w:hAnsi="Arial" w:cs="Arial"/>
                <w:color w:val="000000"/>
                <w:sz w:val="18"/>
                <w:szCs w:val="18"/>
              </w:rPr>
            </w:pPr>
            <w:r w:rsidRPr="00847E24">
              <w:rPr>
                <w:rFonts w:ascii="Arial" w:hAnsi="Arial" w:cs="Arial"/>
                <w:color w:val="000000"/>
                <w:sz w:val="18"/>
                <w:szCs w:val="18"/>
              </w:rPr>
              <w:t xml:space="preserve">2. A decrease in Supplies and Services is primarily due to lower than budgeted domestic travel costs and lower legal costs. </w:t>
            </w:r>
          </w:p>
        </w:tc>
      </w:tr>
    </w:tbl>
    <w:p w14:paraId="529F2CDA" w14:textId="77777777" w:rsidR="00C0691D" w:rsidRDefault="00C0691D" w:rsidP="00C0691D"/>
    <w:p w14:paraId="4DACF214" w14:textId="77777777" w:rsidR="009C462F" w:rsidRPr="0047721D" w:rsidRDefault="009C462F" w:rsidP="0047721D">
      <w:pPr>
        <w:pStyle w:val="BodyText"/>
      </w:pPr>
    </w:p>
    <w:p w14:paraId="18CC628C" w14:textId="3D4EF353" w:rsidR="0037081A" w:rsidRPr="00546AF1" w:rsidRDefault="0037081A" w:rsidP="00BE4B1E">
      <w:pPr>
        <w:rPr>
          <w:rFonts w:ascii="Times New Roman" w:hAnsi="Times New Roman"/>
        </w:rPr>
      </w:pPr>
    </w:p>
    <w:bookmarkEnd w:id="8"/>
    <w:bookmarkEnd w:id="9"/>
    <w:p w14:paraId="25F327DE" w14:textId="2F951132" w:rsidR="00105B4E" w:rsidRDefault="00105B4E">
      <w:pPr>
        <w:jc w:val="left"/>
        <w:rPr>
          <w:rFonts w:ascii="Times New Roman" w:hAnsi="Times New Roman"/>
        </w:rPr>
      </w:pPr>
      <w:r>
        <w:rPr>
          <w:rFonts w:ascii="Times New Roman" w:hAnsi="Times New Roman"/>
        </w:rPr>
        <w:br w:type="page"/>
      </w:r>
    </w:p>
    <w:p w14:paraId="411E8926" w14:textId="18072993" w:rsidR="00EF30F5" w:rsidRDefault="00EF30F5" w:rsidP="00EF30F5">
      <w:pPr>
        <w:widowControl w:val="0"/>
      </w:pPr>
      <w:r>
        <w:lastRenderedPageBreak/>
        <w:t> </w:t>
      </w:r>
    </w:p>
    <w:p w14:paraId="65D2B289" w14:textId="5F180C35" w:rsidR="00954CCF" w:rsidRDefault="00954CCF" w:rsidP="00EF30F5">
      <w:pPr>
        <w:widowControl w:val="0"/>
      </w:pPr>
    </w:p>
    <w:p w14:paraId="3899304F" w14:textId="67DF257B" w:rsidR="00954CCF" w:rsidRDefault="00954CCF" w:rsidP="00EF30F5">
      <w:pPr>
        <w:widowControl w:val="0"/>
      </w:pPr>
    </w:p>
    <w:p w14:paraId="76ADD744" w14:textId="06284803" w:rsidR="00954CCF" w:rsidRDefault="00954CCF" w:rsidP="00EF30F5">
      <w:pPr>
        <w:widowControl w:val="0"/>
      </w:pPr>
    </w:p>
    <w:p w14:paraId="525F5BC1" w14:textId="2F4FCB96" w:rsidR="00954CCF" w:rsidRDefault="00954CCF" w:rsidP="00EF30F5">
      <w:pPr>
        <w:widowControl w:val="0"/>
      </w:pPr>
    </w:p>
    <w:p w14:paraId="2342167B" w14:textId="3965301F" w:rsidR="00954CCF" w:rsidRDefault="00954CCF" w:rsidP="00EF30F5">
      <w:pPr>
        <w:widowControl w:val="0"/>
      </w:pPr>
    </w:p>
    <w:p w14:paraId="79F3DB04" w14:textId="1B262CC7" w:rsidR="00954CCF" w:rsidRDefault="00954CCF" w:rsidP="00EF30F5">
      <w:pPr>
        <w:widowControl w:val="0"/>
      </w:pPr>
    </w:p>
    <w:p w14:paraId="22909FBE" w14:textId="214D0083" w:rsidR="00954CCF" w:rsidRDefault="00954CCF" w:rsidP="00EF30F5">
      <w:pPr>
        <w:widowControl w:val="0"/>
      </w:pPr>
    </w:p>
    <w:p w14:paraId="221955D1" w14:textId="40FDFD8E" w:rsidR="00954CCF" w:rsidRDefault="00954CCF" w:rsidP="00EF30F5">
      <w:pPr>
        <w:widowControl w:val="0"/>
      </w:pPr>
    </w:p>
    <w:p w14:paraId="6AF50720" w14:textId="551F4EF5" w:rsidR="00954CCF" w:rsidRDefault="00954CCF" w:rsidP="00EF30F5">
      <w:pPr>
        <w:widowControl w:val="0"/>
      </w:pPr>
    </w:p>
    <w:p w14:paraId="2D25026B" w14:textId="7FDA8E8C" w:rsidR="00954CCF" w:rsidRDefault="00954CCF" w:rsidP="00EF30F5">
      <w:pPr>
        <w:widowControl w:val="0"/>
      </w:pPr>
    </w:p>
    <w:p w14:paraId="7E9B7C3A" w14:textId="2DF9C883" w:rsidR="00954CCF" w:rsidRDefault="00954CCF" w:rsidP="00EF30F5">
      <w:pPr>
        <w:widowControl w:val="0"/>
      </w:pPr>
    </w:p>
    <w:p w14:paraId="628E24C7" w14:textId="0225C24F" w:rsidR="00954CCF" w:rsidRDefault="00954CCF" w:rsidP="00EF30F5">
      <w:pPr>
        <w:widowControl w:val="0"/>
      </w:pPr>
    </w:p>
    <w:p w14:paraId="7D9C0645" w14:textId="65A98066" w:rsidR="00954CCF" w:rsidRDefault="00954CCF" w:rsidP="00EF30F5">
      <w:pPr>
        <w:widowControl w:val="0"/>
      </w:pPr>
    </w:p>
    <w:p w14:paraId="32AFB939" w14:textId="1A619654" w:rsidR="00954CCF" w:rsidRDefault="00954CCF" w:rsidP="00EF30F5">
      <w:pPr>
        <w:widowControl w:val="0"/>
      </w:pPr>
    </w:p>
    <w:p w14:paraId="2CD0C718" w14:textId="6072AE7F" w:rsidR="00954CCF" w:rsidRDefault="00954CCF" w:rsidP="00EF30F5">
      <w:pPr>
        <w:widowControl w:val="0"/>
      </w:pPr>
    </w:p>
    <w:p w14:paraId="2A9D229E" w14:textId="6945D120" w:rsidR="00954CCF" w:rsidRDefault="00954CCF" w:rsidP="00EF30F5">
      <w:pPr>
        <w:widowControl w:val="0"/>
      </w:pPr>
    </w:p>
    <w:p w14:paraId="3674AEA3" w14:textId="355C8047" w:rsidR="00954CCF" w:rsidRDefault="00954CCF" w:rsidP="00EF30F5">
      <w:pPr>
        <w:widowControl w:val="0"/>
      </w:pPr>
    </w:p>
    <w:p w14:paraId="38B1EE33" w14:textId="1D0BDC2B" w:rsidR="00954CCF" w:rsidRDefault="00954CCF" w:rsidP="00EF30F5">
      <w:pPr>
        <w:widowControl w:val="0"/>
      </w:pPr>
    </w:p>
    <w:p w14:paraId="6B0A1597" w14:textId="7CEB35FE" w:rsidR="00954CCF" w:rsidRDefault="00954CCF" w:rsidP="00EF30F5">
      <w:pPr>
        <w:widowControl w:val="0"/>
      </w:pPr>
    </w:p>
    <w:p w14:paraId="66834017" w14:textId="543EA512" w:rsidR="00954CCF" w:rsidRDefault="00954CCF" w:rsidP="00EF30F5">
      <w:pPr>
        <w:widowControl w:val="0"/>
      </w:pPr>
    </w:p>
    <w:p w14:paraId="024F80E7" w14:textId="69B97EE0" w:rsidR="00954CCF" w:rsidRDefault="00954CCF" w:rsidP="00EF30F5">
      <w:pPr>
        <w:widowControl w:val="0"/>
      </w:pPr>
    </w:p>
    <w:p w14:paraId="051B0BE7" w14:textId="50F4E346" w:rsidR="00954CCF" w:rsidRDefault="0047291E" w:rsidP="00EF30F5">
      <w:pPr>
        <w:widowControl w:val="0"/>
      </w:pPr>
      <w:r>
        <w:rPr>
          <w:noProof/>
        </w:rPr>
        <w:drawing>
          <wp:anchor distT="0" distB="0" distL="114300" distR="114300" simplePos="0" relativeHeight="251661312" behindDoc="0" locked="0" layoutInCell="1" allowOverlap="1" wp14:anchorId="64D04CC4" wp14:editId="5DBFD59C">
            <wp:simplePos x="0" y="0"/>
            <wp:positionH relativeFrom="margin">
              <wp:align>center</wp:align>
            </wp:positionH>
            <wp:positionV relativeFrom="page">
              <wp:posOffset>4135755</wp:posOffset>
            </wp:positionV>
            <wp:extent cx="3354220" cy="127158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IC_brand_colour.jpg"/>
                    <pic:cNvPicPr/>
                  </pic:nvPicPr>
                  <pic:blipFill rotWithShape="1">
                    <a:blip r:embed="rId52" cstate="print">
                      <a:extLst>
                        <a:ext uri="{28A0092B-C50C-407E-A947-70E740481C1C}">
                          <a14:useLocalDpi xmlns:a14="http://schemas.microsoft.com/office/drawing/2010/main" val="0"/>
                        </a:ext>
                      </a:extLst>
                    </a:blip>
                    <a:srcRect l="72888" b="58524"/>
                    <a:stretch/>
                  </pic:blipFill>
                  <pic:spPr bwMode="auto">
                    <a:xfrm>
                      <a:off x="0" y="0"/>
                      <a:ext cx="3354220" cy="12715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45B488" w14:textId="254F5A90" w:rsidR="00954CCF" w:rsidRDefault="00954CCF" w:rsidP="00EF30F5">
      <w:pPr>
        <w:widowControl w:val="0"/>
      </w:pPr>
    </w:p>
    <w:p w14:paraId="78306C18" w14:textId="0E869218" w:rsidR="00954CCF" w:rsidRDefault="00954CCF" w:rsidP="00EF30F5">
      <w:pPr>
        <w:widowControl w:val="0"/>
      </w:pPr>
    </w:p>
    <w:p w14:paraId="1888337C" w14:textId="328BE64A" w:rsidR="00954CCF" w:rsidRDefault="00954CCF" w:rsidP="00EF30F5">
      <w:pPr>
        <w:widowControl w:val="0"/>
      </w:pPr>
    </w:p>
    <w:p w14:paraId="78C20DF8" w14:textId="056A5C2F" w:rsidR="00954CCF" w:rsidRDefault="00954CCF" w:rsidP="00EF30F5">
      <w:pPr>
        <w:widowControl w:val="0"/>
      </w:pPr>
    </w:p>
    <w:p w14:paraId="32D68B23" w14:textId="76F32620" w:rsidR="00954CCF" w:rsidRDefault="00954CCF" w:rsidP="00EF30F5">
      <w:pPr>
        <w:widowControl w:val="0"/>
      </w:pPr>
    </w:p>
    <w:p w14:paraId="22D2E5B8" w14:textId="7A84BA88" w:rsidR="00954CCF" w:rsidRDefault="00954CCF" w:rsidP="00EF30F5">
      <w:pPr>
        <w:widowControl w:val="0"/>
      </w:pPr>
    </w:p>
    <w:p w14:paraId="5B99B5DF" w14:textId="2815834E" w:rsidR="00954CCF" w:rsidRDefault="00954CCF" w:rsidP="00EF30F5">
      <w:pPr>
        <w:widowControl w:val="0"/>
      </w:pPr>
    </w:p>
    <w:p w14:paraId="49EB934C" w14:textId="48C2B2D0" w:rsidR="00954CCF" w:rsidRDefault="00954CCF" w:rsidP="00EF30F5">
      <w:pPr>
        <w:widowControl w:val="0"/>
      </w:pPr>
    </w:p>
    <w:p w14:paraId="31578058" w14:textId="2FD83ABD" w:rsidR="00954CCF" w:rsidRDefault="00954CCF" w:rsidP="00EF30F5">
      <w:pPr>
        <w:widowControl w:val="0"/>
        <w:rPr>
          <w:rFonts w:ascii="Calibri Light" w:hAnsi="Calibri Light" w:cs="Calibri Light"/>
          <w:sz w:val="22"/>
          <w:szCs w:val="22"/>
          <w:lang w:val="en-US"/>
        </w:rPr>
      </w:pPr>
    </w:p>
    <w:p w14:paraId="6D5BE8D8" w14:textId="73F23C24" w:rsidR="00954CCF" w:rsidRDefault="00954CCF" w:rsidP="00954CCF">
      <w:pPr>
        <w:rPr>
          <w:rFonts w:ascii="Calibri" w:hAnsi="Calibri"/>
          <w:szCs w:val="22"/>
        </w:rPr>
      </w:pPr>
    </w:p>
    <w:p w14:paraId="04C16F5A" w14:textId="737AC688" w:rsidR="00570641" w:rsidRPr="00546AF1" w:rsidRDefault="00570641" w:rsidP="00BE4B1E">
      <w:pPr>
        <w:pStyle w:val="BodyText"/>
        <w:spacing w:before="0" w:after="0" w:line="240" w:lineRule="auto"/>
        <w:rPr>
          <w:rFonts w:ascii="Times New Roman" w:hAnsi="Times New Roman"/>
        </w:rPr>
      </w:pPr>
    </w:p>
    <w:sectPr w:rsidR="00570641" w:rsidRPr="00546AF1" w:rsidSect="00EA2446">
      <w:headerReference w:type="default" r:id="rId53"/>
      <w:footnotePr>
        <w:pos w:val="beneathText"/>
      </w:footnotePr>
      <w:type w:val="continuous"/>
      <w:pgSz w:w="11907" w:h="16840" w:code="9"/>
      <w:pgMar w:top="1134" w:right="1701" w:bottom="1134" w:left="1701" w:header="567" w:footer="66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3907" w14:textId="77777777" w:rsidR="008773AE" w:rsidRDefault="008773AE" w:rsidP="002C39DD">
      <w:r>
        <w:separator/>
      </w:r>
    </w:p>
    <w:p w14:paraId="0CC6BC81" w14:textId="77777777" w:rsidR="008773AE" w:rsidRDefault="008773AE" w:rsidP="002C39DD"/>
    <w:p w14:paraId="3F3A571D" w14:textId="77777777" w:rsidR="008773AE" w:rsidRDefault="008773AE" w:rsidP="002C39DD"/>
    <w:p w14:paraId="3C2CBA7E" w14:textId="77777777" w:rsidR="008773AE" w:rsidRDefault="008773AE" w:rsidP="002C39DD"/>
    <w:p w14:paraId="1AFB4E24" w14:textId="77777777" w:rsidR="008773AE" w:rsidRDefault="008773AE"/>
    <w:p w14:paraId="35F170CD" w14:textId="77777777" w:rsidR="008773AE" w:rsidRDefault="008773AE"/>
  </w:endnote>
  <w:endnote w:type="continuationSeparator" w:id="0">
    <w:p w14:paraId="1D359917" w14:textId="77777777" w:rsidR="008773AE" w:rsidRDefault="008773AE" w:rsidP="002C39DD">
      <w:r>
        <w:continuationSeparator/>
      </w:r>
    </w:p>
    <w:p w14:paraId="2C3EBA75" w14:textId="77777777" w:rsidR="008773AE" w:rsidRDefault="008773AE" w:rsidP="002C39DD"/>
    <w:p w14:paraId="7D83EFB2" w14:textId="77777777" w:rsidR="008773AE" w:rsidRDefault="008773AE" w:rsidP="002C39DD"/>
    <w:p w14:paraId="498F6DA9" w14:textId="77777777" w:rsidR="008773AE" w:rsidRDefault="008773AE" w:rsidP="002C39DD"/>
    <w:p w14:paraId="1E6EB8C0" w14:textId="77777777" w:rsidR="008773AE" w:rsidRDefault="008773AE"/>
    <w:p w14:paraId="18B254C0" w14:textId="77777777" w:rsidR="008773AE" w:rsidRDefault="00877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E671" w14:textId="716290B1" w:rsidR="005858AD" w:rsidRDefault="005858AD"/>
  <w:tbl>
    <w:tblPr>
      <w:tblStyle w:val="TableGrid"/>
      <w:tblW w:w="5417" w:type="pct"/>
      <w:tblInd w:w="-142" w:type="dxa"/>
      <w:tblLook w:val="01E0" w:firstRow="1" w:lastRow="1" w:firstColumn="1" w:lastColumn="1" w:noHBand="0" w:noVBand="0"/>
    </w:tblPr>
    <w:tblGrid>
      <w:gridCol w:w="7449"/>
      <w:gridCol w:w="1765"/>
    </w:tblGrid>
    <w:tr w:rsidR="00787E70" w:rsidRPr="00BE4B1E" w14:paraId="62C3C1F4" w14:textId="77777777" w:rsidTr="007C544F">
      <w:tc>
        <w:tcPr>
          <w:tcW w:w="7449" w:type="dxa"/>
          <w:vAlign w:val="center"/>
        </w:tcPr>
        <w:p w14:paraId="1D563EA9" w14:textId="77777777" w:rsidR="00BE4B1E" w:rsidRPr="00CC280A" w:rsidRDefault="00134EC6" w:rsidP="007C544F">
          <w:pPr>
            <w:pStyle w:val="Footer"/>
            <w:spacing w:before="120"/>
            <w:rPr>
              <w:rFonts w:ascii="Times New Roman" w:hAnsi="Times New Roman"/>
            </w:rPr>
          </w:pPr>
          <w:r w:rsidRPr="00CC280A">
            <w:rPr>
              <w:rFonts w:ascii="Times New Roman" w:hAnsi="Times New Roman"/>
            </w:rPr>
            <w:t>Queensland Integrity Commissioner</w:t>
          </w:r>
        </w:p>
        <w:p w14:paraId="2685B250" w14:textId="4F0E94F1" w:rsidR="00134EC6" w:rsidRPr="00BE4B1E" w:rsidRDefault="00134EC6" w:rsidP="007C544F">
          <w:pPr>
            <w:pStyle w:val="Footer"/>
            <w:rPr>
              <w:rFonts w:asciiTheme="minorHAnsi" w:hAnsiTheme="minorHAnsi" w:cstheme="minorHAnsi"/>
              <w:b w:val="0"/>
              <w:bCs/>
            </w:rPr>
          </w:pPr>
          <w:r w:rsidRPr="00CC280A">
            <w:rPr>
              <w:rFonts w:ascii="Times New Roman" w:hAnsi="Times New Roman"/>
              <w:b w:val="0"/>
              <w:bCs/>
            </w:rPr>
            <w:t>Annual Report 2020</w:t>
          </w:r>
          <w:r w:rsidR="00047606">
            <w:rPr>
              <w:rFonts w:ascii="Times New Roman" w:hAnsi="Times New Roman"/>
              <w:b w:val="0"/>
              <w:bCs/>
            </w:rPr>
            <w:noBreakHyphen/>
          </w:r>
          <w:r w:rsidRPr="00CC280A">
            <w:rPr>
              <w:rFonts w:ascii="Times New Roman" w:hAnsi="Times New Roman"/>
              <w:b w:val="0"/>
              <w:bCs/>
            </w:rPr>
            <w:t>21</w:t>
          </w:r>
        </w:p>
      </w:tc>
      <w:tc>
        <w:tcPr>
          <w:tcW w:w="1765" w:type="dxa"/>
          <w:vAlign w:val="center"/>
        </w:tcPr>
        <w:p w14:paraId="72167642" w14:textId="1D9C5B2A" w:rsidR="00787E70" w:rsidRPr="0002033E" w:rsidRDefault="00861874" w:rsidP="0002033E">
          <w:pPr>
            <w:pStyle w:val="FooterpageNumber"/>
            <w:rPr>
              <w:rFonts w:asciiTheme="minorHAnsi" w:hAnsiTheme="minorHAnsi" w:cstheme="minorHAnsi"/>
              <w:sz w:val="20"/>
              <w:szCs w:val="20"/>
            </w:rPr>
          </w:pPr>
          <w:r w:rsidRPr="007C544F">
            <w:rPr>
              <w:rFonts w:asciiTheme="minorHAnsi" w:hAnsiTheme="minorHAnsi" w:cstheme="minorHAnsi"/>
              <w:sz w:val="20"/>
              <w:szCs w:val="20"/>
            </w:rPr>
            <w:fldChar w:fldCharType="begin"/>
          </w:r>
          <w:r w:rsidRPr="007C544F">
            <w:rPr>
              <w:rFonts w:asciiTheme="minorHAnsi" w:hAnsiTheme="minorHAnsi" w:cstheme="minorHAnsi"/>
              <w:sz w:val="20"/>
              <w:szCs w:val="20"/>
            </w:rPr>
            <w:instrText xml:space="preserve"> PAGE   \* MERGEFORMAT </w:instrText>
          </w:r>
          <w:r w:rsidRPr="007C544F">
            <w:rPr>
              <w:rFonts w:asciiTheme="minorHAnsi" w:hAnsiTheme="minorHAnsi" w:cstheme="minorHAnsi"/>
              <w:sz w:val="20"/>
              <w:szCs w:val="20"/>
            </w:rPr>
            <w:fldChar w:fldCharType="separate"/>
          </w:r>
          <w:r w:rsidRPr="007C544F">
            <w:rPr>
              <w:rFonts w:asciiTheme="minorHAnsi" w:hAnsiTheme="minorHAnsi" w:cstheme="minorHAnsi"/>
              <w:noProof/>
              <w:sz w:val="20"/>
              <w:szCs w:val="20"/>
            </w:rPr>
            <w:t>1</w:t>
          </w:r>
          <w:r w:rsidRPr="007C544F">
            <w:rPr>
              <w:rFonts w:asciiTheme="minorHAnsi" w:hAnsiTheme="minorHAnsi" w:cstheme="minorHAnsi"/>
              <w:noProof/>
              <w:sz w:val="20"/>
              <w:szCs w:val="20"/>
            </w:rPr>
            <w:fldChar w:fldCharType="end"/>
          </w:r>
        </w:p>
      </w:tc>
    </w:tr>
  </w:tbl>
  <w:p w14:paraId="0AF490C6" w14:textId="77777777" w:rsidR="00787E70" w:rsidRPr="00E81629" w:rsidRDefault="00787E70" w:rsidP="00DC40C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5A92" w14:textId="77777777" w:rsidR="008773AE" w:rsidRDefault="008773AE" w:rsidP="002C39DD">
      <w:r>
        <w:separator/>
      </w:r>
    </w:p>
    <w:p w14:paraId="37115919" w14:textId="77777777" w:rsidR="008773AE" w:rsidRDefault="008773AE"/>
  </w:footnote>
  <w:footnote w:type="continuationSeparator" w:id="0">
    <w:p w14:paraId="5826F366" w14:textId="77777777" w:rsidR="008773AE" w:rsidRDefault="008773AE" w:rsidP="002C39DD">
      <w:r>
        <w:continuationSeparator/>
      </w:r>
    </w:p>
    <w:p w14:paraId="69546E76" w14:textId="77777777" w:rsidR="008773AE" w:rsidRDefault="008773AE" w:rsidP="002C39DD"/>
    <w:p w14:paraId="671E9FF9" w14:textId="77777777" w:rsidR="008773AE" w:rsidRDefault="008773AE" w:rsidP="002C39DD"/>
    <w:p w14:paraId="1CEBFE02" w14:textId="77777777" w:rsidR="008773AE" w:rsidRDefault="008773AE" w:rsidP="002C39DD"/>
    <w:p w14:paraId="247C5172" w14:textId="77777777" w:rsidR="008773AE" w:rsidRDefault="008773AE"/>
    <w:p w14:paraId="504D372A" w14:textId="77777777" w:rsidR="008773AE" w:rsidRDefault="008773AE"/>
  </w:footnote>
  <w:footnote w:id="1">
    <w:p w14:paraId="4B02E5B4" w14:textId="77777777" w:rsidR="00535D0C" w:rsidRPr="003D0BE8" w:rsidRDefault="00535D0C" w:rsidP="00535D0C">
      <w:pPr>
        <w:pStyle w:val="FootnoteText"/>
        <w:rPr>
          <w:rFonts w:ascii="Palatino Linotype" w:hAnsi="Palatino Linotype"/>
          <w:sz w:val="18"/>
          <w:szCs w:val="18"/>
          <w:lang w:val="en-US"/>
        </w:rPr>
      </w:pPr>
      <w:r w:rsidRPr="00357B2B">
        <w:rPr>
          <w:rStyle w:val="FootnoteReference"/>
          <w:rFonts w:ascii="Times New Roman" w:hAnsi="Times New Roman" w:cs="Times New Roman"/>
          <w:sz w:val="18"/>
          <w:szCs w:val="18"/>
        </w:rPr>
        <w:footnoteRef/>
      </w:r>
      <w:r w:rsidRPr="00357B2B">
        <w:rPr>
          <w:rFonts w:ascii="Times New Roman" w:hAnsi="Times New Roman" w:cs="Times New Roman"/>
          <w:sz w:val="18"/>
          <w:szCs w:val="18"/>
        </w:rPr>
        <w:t xml:space="preserve"> </w:t>
      </w:r>
      <w:r w:rsidRPr="00357B2B">
        <w:rPr>
          <w:rFonts w:ascii="Times New Roman" w:hAnsi="Times New Roman" w:cs="Times New Roman"/>
          <w:i/>
          <w:iCs/>
          <w:color w:val="000000"/>
          <w:sz w:val="18"/>
          <w:szCs w:val="18"/>
        </w:rPr>
        <w:t>Integrity Act 2009</w:t>
      </w:r>
      <w:r w:rsidRPr="00357B2B">
        <w:rPr>
          <w:rFonts w:ascii="Times New Roman" w:hAnsi="Times New Roman" w:cs="Times New Roman"/>
          <w:color w:val="000000"/>
          <w:sz w:val="18"/>
          <w:szCs w:val="18"/>
        </w:rPr>
        <w:t xml:space="preserve"> (Qld), s 20A(2).</w:t>
      </w:r>
    </w:p>
  </w:footnote>
  <w:footnote w:id="2">
    <w:p w14:paraId="02C3D542" w14:textId="15DF1736" w:rsidR="006B0CD6" w:rsidRPr="00731055" w:rsidRDefault="006B0CD6" w:rsidP="006B0CD6">
      <w:pPr>
        <w:pStyle w:val="FootnoteText"/>
        <w:rPr>
          <w:rFonts w:ascii="Palatino Linotype" w:hAnsi="Palatino Linotype"/>
          <w:sz w:val="18"/>
          <w:szCs w:val="18"/>
          <w:lang w:val="en-US"/>
        </w:rPr>
      </w:pPr>
      <w:r w:rsidRPr="00731055">
        <w:rPr>
          <w:rStyle w:val="FootnoteReference"/>
          <w:rFonts w:ascii="Palatino Linotype" w:hAnsi="Palatino Linotype"/>
          <w:sz w:val="18"/>
          <w:szCs w:val="18"/>
        </w:rPr>
        <w:footnoteRef/>
      </w:r>
      <w:r w:rsidRPr="00731055">
        <w:rPr>
          <w:rFonts w:ascii="Palatino Linotype" w:hAnsi="Palatino Linotype"/>
          <w:sz w:val="18"/>
          <w:szCs w:val="18"/>
        </w:rPr>
        <w:t xml:space="preserve"> </w:t>
      </w:r>
      <w:r w:rsidRPr="00731055">
        <w:rPr>
          <w:rFonts w:ascii="Palatino Linotype" w:hAnsi="Palatino Linotype"/>
          <w:i/>
          <w:iCs/>
          <w:sz w:val="18"/>
          <w:szCs w:val="18"/>
          <w:lang w:val="en-US"/>
        </w:rPr>
        <w:t>Integrity Act 2009</w:t>
      </w:r>
      <w:r w:rsidRPr="00731055">
        <w:rPr>
          <w:rFonts w:ascii="Palatino Linotype" w:hAnsi="Palatino Linotype"/>
          <w:sz w:val="18"/>
          <w:szCs w:val="18"/>
          <w:lang w:val="en-US"/>
        </w:rPr>
        <w:t xml:space="preserve"> (Qld), s 49(1)</w:t>
      </w:r>
      <w:r>
        <w:rPr>
          <w:rFonts w:ascii="Palatino Linotype" w:hAnsi="Palatino Linotype"/>
          <w:sz w:val="18"/>
          <w:szCs w:val="18"/>
          <w:lang w:val="en-US"/>
        </w:rPr>
        <w:t>.</w:t>
      </w:r>
    </w:p>
  </w:footnote>
  <w:footnote w:id="3">
    <w:p w14:paraId="2DD8E9FE" w14:textId="2A8A2B1D" w:rsidR="006B0CD6" w:rsidRPr="00731055" w:rsidRDefault="006B0CD6" w:rsidP="006B0CD6">
      <w:pPr>
        <w:pStyle w:val="FootnoteText"/>
        <w:rPr>
          <w:rFonts w:ascii="Palatino Linotype" w:hAnsi="Palatino Linotype"/>
          <w:sz w:val="18"/>
          <w:szCs w:val="18"/>
          <w:lang w:val="en-US"/>
        </w:rPr>
      </w:pPr>
      <w:r w:rsidRPr="00731055">
        <w:rPr>
          <w:rStyle w:val="FootnoteReference"/>
          <w:rFonts w:ascii="Palatino Linotype" w:hAnsi="Palatino Linotype"/>
          <w:sz w:val="18"/>
          <w:szCs w:val="18"/>
        </w:rPr>
        <w:footnoteRef/>
      </w:r>
      <w:r w:rsidRPr="00731055">
        <w:rPr>
          <w:rFonts w:ascii="Palatino Linotype" w:hAnsi="Palatino Linotype"/>
          <w:sz w:val="18"/>
          <w:szCs w:val="18"/>
        </w:rPr>
        <w:t xml:space="preserve"> </w:t>
      </w:r>
      <w:r w:rsidRPr="00731055">
        <w:rPr>
          <w:rFonts w:ascii="Palatino Linotype" w:hAnsi="Palatino Linotype"/>
          <w:i/>
          <w:iCs/>
          <w:sz w:val="18"/>
          <w:szCs w:val="18"/>
        </w:rPr>
        <w:t>Integrity Act 2009</w:t>
      </w:r>
      <w:r w:rsidRPr="00731055">
        <w:rPr>
          <w:rFonts w:ascii="Palatino Linotype" w:hAnsi="Palatino Linotype"/>
          <w:sz w:val="18"/>
          <w:szCs w:val="18"/>
        </w:rPr>
        <w:t xml:space="preserve"> (Qld), s 49(2)</w:t>
      </w:r>
      <w:r>
        <w:rPr>
          <w:rFonts w:ascii="Palatino Linotype" w:hAnsi="Palatino Linotype"/>
          <w:sz w:val="18"/>
          <w:szCs w:val="18"/>
        </w:rPr>
        <w:t>.</w:t>
      </w:r>
    </w:p>
  </w:footnote>
  <w:footnote w:id="4">
    <w:p w14:paraId="759584C6" w14:textId="11A4CFBB" w:rsidR="006B0CD6" w:rsidRPr="00731055" w:rsidRDefault="006B0CD6" w:rsidP="006B0CD6">
      <w:pPr>
        <w:pStyle w:val="FootnoteText"/>
        <w:rPr>
          <w:rFonts w:ascii="Palatino Linotype" w:hAnsi="Palatino Linotype"/>
          <w:sz w:val="18"/>
          <w:szCs w:val="18"/>
          <w:lang w:val="en-US"/>
        </w:rPr>
      </w:pPr>
      <w:r w:rsidRPr="00731055">
        <w:rPr>
          <w:rStyle w:val="FootnoteReference"/>
          <w:rFonts w:ascii="Palatino Linotype" w:hAnsi="Palatino Linotype"/>
          <w:sz w:val="18"/>
          <w:szCs w:val="18"/>
        </w:rPr>
        <w:footnoteRef/>
      </w:r>
      <w:r w:rsidRPr="00731055">
        <w:rPr>
          <w:rFonts w:ascii="Palatino Linotype" w:hAnsi="Palatino Linotype"/>
          <w:sz w:val="18"/>
          <w:szCs w:val="18"/>
        </w:rPr>
        <w:t xml:space="preserve"> </w:t>
      </w:r>
      <w:r w:rsidRPr="00731055">
        <w:rPr>
          <w:rFonts w:ascii="Palatino Linotype" w:hAnsi="Palatino Linotype"/>
          <w:i/>
          <w:iCs/>
          <w:sz w:val="18"/>
          <w:szCs w:val="18"/>
        </w:rPr>
        <w:t>Integrity Act 2009</w:t>
      </w:r>
      <w:r w:rsidRPr="00731055">
        <w:rPr>
          <w:rFonts w:ascii="Palatino Linotype" w:hAnsi="Palatino Linotype"/>
          <w:sz w:val="18"/>
          <w:szCs w:val="18"/>
        </w:rPr>
        <w:t xml:space="preserve"> (Qld), s 49(3)</w:t>
      </w:r>
      <w:r>
        <w:rPr>
          <w:rFonts w:ascii="Palatino Linotype" w:hAnsi="Palatino Linotype"/>
          <w:sz w:val="18"/>
          <w:szCs w:val="18"/>
        </w:rPr>
        <w:t>.</w:t>
      </w:r>
    </w:p>
  </w:footnote>
  <w:footnote w:id="5">
    <w:p w14:paraId="203FCDBB" w14:textId="7AC1E464" w:rsidR="008E781D" w:rsidRPr="00772470" w:rsidRDefault="008E781D" w:rsidP="008E781D">
      <w:pPr>
        <w:pStyle w:val="FootnoteText"/>
        <w:rPr>
          <w:lang w:val="en-US"/>
        </w:rPr>
      </w:pPr>
      <w:r w:rsidRPr="00731055">
        <w:rPr>
          <w:rStyle w:val="FootnoteReference"/>
          <w:rFonts w:ascii="Palatino Linotype" w:hAnsi="Palatino Linotype"/>
          <w:sz w:val="18"/>
          <w:szCs w:val="18"/>
        </w:rPr>
        <w:footnoteRef/>
      </w:r>
      <w:r w:rsidRPr="00731055">
        <w:rPr>
          <w:rFonts w:ascii="Palatino Linotype" w:hAnsi="Palatino Linotype"/>
          <w:sz w:val="18"/>
          <w:szCs w:val="18"/>
        </w:rPr>
        <w:t xml:space="preserve"> </w:t>
      </w:r>
      <w:r w:rsidRPr="00731055">
        <w:rPr>
          <w:rFonts w:ascii="Palatino Linotype" w:hAnsi="Palatino Linotype"/>
          <w:i/>
          <w:iCs/>
          <w:sz w:val="18"/>
          <w:szCs w:val="18"/>
          <w:lang w:val="en-US"/>
        </w:rPr>
        <w:t>Public Records Act 2002</w:t>
      </w:r>
      <w:r w:rsidRPr="00731055">
        <w:rPr>
          <w:rFonts w:ascii="Palatino Linotype" w:hAnsi="Palatino Linotype"/>
          <w:sz w:val="18"/>
          <w:szCs w:val="18"/>
          <w:lang w:val="en-US"/>
        </w:rPr>
        <w:t xml:space="preserve"> (Qld), s 7</w:t>
      </w:r>
      <w:r>
        <w:rPr>
          <w:rFonts w:ascii="Palatino Linotype" w:hAnsi="Palatino Linotype"/>
          <w:sz w:val="18"/>
          <w:szCs w:val="18"/>
          <w:lang w:val="en-US"/>
        </w:rPr>
        <w:t>.</w:t>
      </w:r>
    </w:p>
  </w:footnote>
  <w:footnote w:id="6">
    <w:p w14:paraId="0F286208" w14:textId="77777777" w:rsidR="00094B22" w:rsidRPr="00560D8F" w:rsidRDefault="00094B22" w:rsidP="00094B22">
      <w:pPr>
        <w:pStyle w:val="FootnoteText"/>
        <w:rPr>
          <w:rFonts w:ascii="Times New Roman" w:hAnsi="Times New Roman" w:cs="Times New Roman"/>
          <w:sz w:val="18"/>
          <w:szCs w:val="18"/>
          <w:lang w:val="en-US"/>
        </w:rPr>
      </w:pPr>
      <w:r w:rsidRPr="00560D8F">
        <w:rPr>
          <w:rStyle w:val="FootnoteReference"/>
          <w:rFonts w:ascii="Times New Roman" w:hAnsi="Times New Roman" w:cs="Times New Roman"/>
          <w:sz w:val="18"/>
          <w:szCs w:val="18"/>
        </w:rPr>
        <w:footnoteRef/>
      </w:r>
      <w:r w:rsidRPr="00560D8F">
        <w:rPr>
          <w:rFonts w:ascii="Times New Roman" w:hAnsi="Times New Roman" w:cs="Times New Roman"/>
          <w:sz w:val="18"/>
          <w:szCs w:val="18"/>
        </w:rPr>
        <w:t xml:space="preserve"> See section 10.7 of the Bridgeman Review: </w:t>
      </w:r>
      <w:hyperlink r:id="rId1" w:history="1">
        <w:r w:rsidRPr="00560D8F">
          <w:rPr>
            <w:rStyle w:val="Hyperlink"/>
            <w:rFonts w:ascii="Times New Roman" w:hAnsi="Times New Roman" w:cs="Times New Roman"/>
            <w:sz w:val="18"/>
            <w:szCs w:val="18"/>
          </w:rPr>
          <w:t>A fair and responsive public service for all (www.qld.gov.au)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174A" w14:textId="77777777" w:rsidR="00787E70" w:rsidRPr="00F02B8C" w:rsidRDefault="00787E70" w:rsidP="00DC40CA">
    <w:pPr>
      <w:rPr>
        <w:sz w:val="4"/>
      </w:rPr>
    </w:pPr>
  </w:p>
  <w:tbl>
    <w:tblPr>
      <w:tblStyle w:val="TableGrid"/>
      <w:tblW w:w="11907" w:type="dxa"/>
      <w:jc w:val="center"/>
      <w:tblInd w:w="0" w:type="dxa"/>
      <w:shd w:val="clear" w:color="auto" w:fill="93BAC0"/>
      <w:tblLook w:val="01E0" w:firstRow="1" w:lastRow="1" w:firstColumn="1" w:lastColumn="1" w:noHBand="0" w:noVBand="0"/>
    </w:tblPr>
    <w:tblGrid>
      <w:gridCol w:w="11907"/>
    </w:tblGrid>
    <w:tr w:rsidR="00787E70" w14:paraId="5165855E" w14:textId="77777777" w:rsidTr="00DD43D8">
      <w:trPr>
        <w:jc w:val="center"/>
      </w:trPr>
      <w:tc>
        <w:tcPr>
          <w:tcW w:w="11340" w:type="dxa"/>
          <w:shd w:val="clear" w:color="auto" w:fill="93BAC0"/>
        </w:tcPr>
        <w:p w14:paraId="5A322941" w14:textId="77777777" w:rsidR="00787E70" w:rsidRPr="0023375C" w:rsidRDefault="00787E70" w:rsidP="00DD43D8">
          <w:pPr>
            <w:rPr>
              <w:sz w:val="12"/>
              <w:szCs w:val="12"/>
            </w:rPr>
          </w:pPr>
        </w:p>
      </w:tc>
    </w:tr>
  </w:tbl>
  <w:p w14:paraId="3EBA506C" w14:textId="77777777" w:rsidR="00787E70" w:rsidRPr="006108C5" w:rsidRDefault="00787E70" w:rsidP="00DC40C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05E4" w14:textId="782AEA96" w:rsidR="00787E70" w:rsidRDefault="000F6A68">
    <w:pPr>
      <w:pStyle w:val="Header"/>
    </w:pPr>
    <w:r w:rsidRPr="00B4550B">
      <w:rPr>
        <w:rFonts w:cstheme="minorHAnsi"/>
        <w:noProof/>
      </w:rPr>
      <w:drawing>
        <wp:anchor distT="0" distB="0" distL="114300" distR="114300" simplePos="0" relativeHeight="251677696" behindDoc="0" locked="0" layoutInCell="1" allowOverlap="1" wp14:anchorId="21766FE2" wp14:editId="4FD98F88">
          <wp:simplePos x="0" y="0"/>
          <wp:positionH relativeFrom="column">
            <wp:posOffset>4652963</wp:posOffset>
          </wp:positionH>
          <wp:positionV relativeFrom="paragraph">
            <wp:posOffset>219075</wp:posOffset>
          </wp:positionV>
          <wp:extent cx="1143466" cy="1042202"/>
          <wp:effectExtent l="0" t="0" r="0" b="5715"/>
          <wp:wrapSquare wrapText="bothSides"/>
          <wp:docPr id="98" name="Picture 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466" cy="1042202"/>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AD">
      <w:rPr>
        <w:rFonts w:ascii="Times New Roman" w:hAnsi="Times New Roman"/>
        <w:noProof/>
        <w:sz w:val="24"/>
      </w:rPr>
      <w:drawing>
        <wp:anchor distT="36576" distB="36576" distL="36576" distR="36576" simplePos="0" relativeHeight="251675648" behindDoc="0" locked="0" layoutInCell="1" allowOverlap="1" wp14:anchorId="49410652" wp14:editId="30DAEC3B">
          <wp:simplePos x="0" y="0"/>
          <wp:positionH relativeFrom="column">
            <wp:posOffset>-95139</wp:posOffset>
          </wp:positionH>
          <wp:positionV relativeFrom="paragraph">
            <wp:posOffset>220262</wp:posOffset>
          </wp:positionV>
          <wp:extent cx="995981" cy="978010"/>
          <wp:effectExtent l="0" t="0" r="0" b="0"/>
          <wp:wrapNone/>
          <wp:docPr id="36" name="Picture 3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995981" cy="9780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BC36" w14:textId="77777777" w:rsidR="00787E70" w:rsidRPr="00F02B8C" w:rsidRDefault="00787E70" w:rsidP="00F02B8C">
    <w:pPr>
      <w:rPr>
        <w:sz w:val="4"/>
      </w:rPr>
    </w:pPr>
  </w:p>
  <w:p w14:paraId="1478276E" w14:textId="77777777" w:rsidR="00787E70" w:rsidRPr="006108C5" w:rsidRDefault="00787E70" w:rsidP="00F02B8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3B26577"/>
    <w:multiLevelType w:val="hybridMultilevel"/>
    <w:tmpl w:val="B35C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5D554F"/>
    <w:multiLevelType w:val="hybridMultilevel"/>
    <w:tmpl w:val="2396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733C4"/>
    <w:multiLevelType w:val="hybridMultilevel"/>
    <w:tmpl w:val="4640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63E79"/>
    <w:multiLevelType w:val="hybridMultilevel"/>
    <w:tmpl w:val="EA461ECC"/>
    <w:lvl w:ilvl="0" w:tplc="F014DDD8">
      <w:start w:val="1"/>
      <w:numFmt w:val="bullet"/>
      <w:pStyle w:val="Bullets1"/>
      <w:lvlText w:val=""/>
      <w:lvlJc w:val="left"/>
      <w:pPr>
        <w:ind w:left="720" w:hanging="720"/>
      </w:pPr>
      <w:rPr>
        <w:rFonts w:ascii="Symbol" w:hAnsi="Symbol" w:hint="default"/>
        <w:color w:val="5B9BD5" w:themeColor="accent1"/>
      </w:rPr>
    </w:lvl>
    <w:lvl w:ilvl="1" w:tplc="982EAFA2">
      <w:start w:val="1"/>
      <w:numFmt w:val="bullet"/>
      <w:pStyle w:val="Bullets2"/>
      <w:lvlText w:val="―"/>
      <w:lvlJc w:val="left"/>
      <w:pPr>
        <w:ind w:left="1080" w:hanging="360"/>
      </w:pPr>
      <w:rPr>
        <w:rFonts w:ascii="Arial Black" w:hAnsi="Arial Black" w:hint="default"/>
        <w:color w:val="5B9BD5"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B53B02"/>
    <w:multiLevelType w:val="hybridMultilevel"/>
    <w:tmpl w:val="02E2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5" w15:restartNumberingAfterBreak="0">
    <w:nsid w:val="115A4E26"/>
    <w:multiLevelType w:val="hybridMultilevel"/>
    <w:tmpl w:val="AFC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C59FC"/>
    <w:multiLevelType w:val="hybridMultilevel"/>
    <w:tmpl w:val="E5D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27F7"/>
    <w:multiLevelType w:val="hybridMultilevel"/>
    <w:tmpl w:val="B7D2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A0DFE"/>
    <w:multiLevelType w:val="hybridMultilevel"/>
    <w:tmpl w:val="174C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20A16"/>
    <w:multiLevelType w:val="hybridMultilevel"/>
    <w:tmpl w:val="232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054CE8"/>
    <w:multiLevelType w:val="hybridMultilevel"/>
    <w:tmpl w:val="47E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2F45C1"/>
    <w:multiLevelType w:val="hybridMultilevel"/>
    <w:tmpl w:val="7A82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683534"/>
    <w:multiLevelType w:val="hybridMultilevel"/>
    <w:tmpl w:val="949221D8"/>
    <w:lvl w:ilvl="0" w:tplc="A2AE67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4"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CE6132E"/>
    <w:multiLevelType w:val="hybridMultilevel"/>
    <w:tmpl w:val="EFF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464647D"/>
    <w:multiLevelType w:val="hybridMultilevel"/>
    <w:tmpl w:val="ACB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20E39"/>
    <w:multiLevelType w:val="hybridMultilevel"/>
    <w:tmpl w:val="F6AA77A0"/>
    <w:lvl w:ilvl="0" w:tplc="D3DE67A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AB13934"/>
    <w:multiLevelType w:val="hybridMultilevel"/>
    <w:tmpl w:val="67D4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A7A51"/>
    <w:multiLevelType w:val="hybridMultilevel"/>
    <w:tmpl w:val="967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151F6"/>
    <w:multiLevelType w:val="hybridMultilevel"/>
    <w:tmpl w:val="1A58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559A3E21"/>
    <w:multiLevelType w:val="hybridMultilevel"/>
    <w:tmpl w:val="6A2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93F45"/>
    <w:multiLevelType w:val="hybridMultilevel"/>
    <w:tmpl w:val="E504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F4281"/>
    <w:multiLevelType w:val="hybridMultilevel"/>
    <w:tmpl w:val="193E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B31D4"/>
    <w:multiLevelType w:val="hybridMultilevel"/>
    <w:tmpl w:val="A360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9"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40" w15:restartNumberingAfterBreak="0">
    <w:nsid w:val="63323DD3"/>
    <w:multiLevelType w:val="hybridMultilevel"/>
    <w:tmpl w:val="1BE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2" w15:restartNumberingAfterBreak="0">
    <w:nsid w:val="68B70D55"/>
    <w:multiLevelType w:val="hybridMultilevel"/>
    <w:tmpl w:val="3BC8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24243C"/>
    <w:multiLevelType w:val="hybridMultilevel"/>
    <w:tmpl w:val="77B6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6C6D5C27"/>
    <w:multiLevelType w:val="hybridMultilevel"/>
    <w:tmpl w:val="1D84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697082"/>
    <w:multiLevelType w:val="hybridMultilevel"/>
    <w:tmpl w:val="32A436FE"/>
    <w:lvl w:ilvl="0" w:tplc="3DC29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7"/>
  </w:num>
  <w:num w:numId="2">
    <w:abstractNumId w:val="8"/>
  </w:num>
  <w:num w:numId="3">
    <w:abstractNumId w:val="44"/>
  </w:num>
  <w:num w:numId="4">
    <w:abstractNumId w:val="33"/>
  </w:num>
  <w:num w:numId="5">
    <w:abstractNumId w:val="26"/>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39"/>
  </w:num>
  <w:num w:numId="17">
    <w:abstractNumId w:val="41"/>
  </w:num>
  <w:num w:numId="18">
    <w:abstractNumId w:val="29"/>
  </w:num>
  <w:num w:numId="19">
    <w:abstractNumId w:val="38"/>
  </w:num>
  <w:num w:numId="20">
    <w:abstractNumId w:val="24"/>
  </w:num>
  <w:num w:numId="21">
    <w:abstractNumId w:val="48"/>
  </w:num>
  <w:num w:numId="22">
    <w:abstractNumId w:val="12"/>
  </w:num>
  <w:num w:numId="23">
    <w:abstractNumId w:val="28"/>
  </w:num>
  <w:num w:numId="24">
    <w:abstractNumId w:val="42"/>
  </w:num>
  <w:num w:numId="25">
    <w:abstractNumId w:val="19"/>
  </w:num>
  <w:num w:numId="26">
    <w:abstractNumId w:val="35"/>
  </w:num>
  <w:num w:numId="27">
    <w:abstractNumId w:val="17"/>
  </w:num>
  <w:num w:numId="28">
    <w:abstractNumId w:val="40"/>
  </w:num>
  <w:num w:numId="29">
    <w:abstractNumId w:val="34"/>
  </w:num>
  <w:num w:numId="30">
    <w:abstractNumId w:val="43"/>
  </w:num>
  <w:num w:numId="31">
    <w:abstractNumId w:val="45"/>
  </w:num>
  <w:num w:numId="32">
    <w:abstractNumId w:val="21"/>
  </w:num>
  <w:num w:numId="33">
    <w:abstractNumId w:val="10"/>
  </w:num>
  <w:num w:numId="34">
    <w:abstractNumId w:val="18"/>
  </w:num>
  <w:num w:numId="35">
    <w:abstractNumId w:val="27"/>
  </w:num>
  <w:num w:numId="36">
    <w:abstractNumId w:val="16"/>
  </w:num>
  <w:num w:numId="37">
    <w:abstractNumId w:val="31"/>
  </w:num>
  <w:num w:numId="38">
    <w:abstractNumId w:val="32"/>
  </w:num>
  <w:num w:numId="39">
    <w:abstractNumId w:val="20"/>
  </w:num>
  <w:num w:numId="40">
    <w:abstractNumId w:val="11"/>
  </w:num>
  <w:num w:numId="41">
    <w:abstractNumId w:val="37"/>
  </w:num>
  <w:num w:numId="42">
    <w:abstractNumId w:val="46"/>
  </w:num>
  <w:num w:numId="43">
    <w:abstractNumId w:val="22"/>
  </w:num>
  <w:num w:numId="44">
    <w:abstractNumId w:val="15"/>
  </w:num>
  <w:num w:numId="45">
    <w:abstractNumId w:val="30"/>
  </w:num>
  <w:num w:numId="46">
    <w:abstractNumId w:val="9"/>
  </w:num>
  <w:num w:numId="47">
    <w:abstractNumId w:val="13"/>
  </w:num>
  <w:num w:numId="48">
    <w:abstractNumId w:val="36"/>
  </w:num>
  <w:num w:numId="49">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14337" stroke="f">
      <v:stroke on="f"/>
      <o:colormru v:ext="edit" colors="#635d63,#304f92,#ff001a,#036,#ddd,silver,#b2b2b2,#d9da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9"/>
    <w:rsid w:val="00000601"/>
    <w:rsid w:val="00000B35"/>
    <w:rsid w:val="00002610"/>
    <w:rsid w:val="0000281F"/>
    <w:rsid w:val="00002875"/>
    <w:rsid w:val="00003033"/>
    <w:rsid w:val="00003275"/>
    <w:rsid w:val="0000348F"/>
    <w:rsid w:val="00003673"/>
    <w:rsid w:val="00003AAD"/>
    <w:rsid w:val="000041B8"/>
    <w:rsid w:val="000043F5"/>
    <w:rsid w:val="000064FE"/>
    <w:rsid w:val="00007E41"/>
    <w:rsid w:val="00010153"/>
    <w:rsid w:val="00010485"/>
    <w:rsid w:val="00011B35"/>
    <w:rsid w:val="00012492"/>
    <w:rsid w:val="00013429"/>
    <w:rsid w:val="000140C9"/>
    <w:rsid w:val="00014410"/>
    <w:rsid w:val="00014A47"/>
    <w:rsid w:val="00015304"/>
    <w:rsid w:val="00015349"/>
    <w:rsid w:val="00016130"/>
    <w:rsid w:val="000169CF"/>
    <w:rsid w:val="00020076"/>
    <w:rsid w:val="0002033E"/>
    <w:rsid w:val="000205FC"/>
    <w:rsid w:val="00020BD2"/>
    <w:rsid w:val="0002152C"/>
    <w:rsid w:val="00021CE7"/>
    <w:rsid w:val="00021F11"/>
    <w:rsid w:val="000229C5"/>
    <w:rsid w:val="00022EE1"/>
    <w:rsid w:val="000237F2"/>
    <w:rsid w:val="00024C9C"/>
    <w:rsid w:val="000265F4"/>
    <w:rsid w:val="0002705B"/>
    <w:rsid w:val="000276C6"/>
    <w:rsid w:val="000277C5"/>
    <w:rsid w:val="00027CF4"/>
    <w:rsid w:val="0003033A"/>
    <w:rsid w:val="00031433"/>
    <w:rsid w:val="000321F2"/>
    <w:rsid w:val="00033159"/>
    <w:rsid w:val="000331C4"/>
    <w:rsid w:val="0003331B"/>
    <w:rsid w:val="00034343"/>
    <w:rsid w:val="000354BB"/>
    <w:rsid w:val="00036D43"/>
    <w:rsid w:val="00037415"/>
    <w:rsid w:val="0003780E"/>
    <w:rsid w:val="00037972"/>
    <w:rsid w:val="000410B8"/>
    <w:rsid w:val="00043A54"/>
    <w:rsid w:val="000446BB"/>
    <w:rsid w:val="0004472A"/>
    <w:rsid w:val="0004500B"/>
    <w:rsid w:val="00045A69"/>
    <w:rsid w:val="00045E3A"/>
    <w:rsid w:val="000464E6"/>
    <w:rsid w:val="000468B7"/>
    <w:rsid w:val="00046ADD"/>
    <w:rsid w:val="00047606"/>
    <w:rsid w:val="000479CA"/>
    <w:rsid w:val="00050073"/>
    <w:rsid w:val="000539CC"/>
    <w:rsid w:val="000539EA"/>
    <w:rsid w:val="00053EE1"/>
    <w:rsid w:val="00054A60"/>
    <w:rsid w:val="00055D76"/>
    <w:rsid w:val="00056A05"/>
    <w:rsid w:val="00056F5C"/>
    <w:rsid w:val="00056F6D"/>
    <w:rsid w:val="00057D50"/>
    <w:rsid w:val="00057EA7"/>
    <w:rsid w:val="000606A5"/>
    <w:rsid w:val="00061129"/>
    <w:rsid w:val="00061223"/>
    <w:rsid w:val="00061B2D"/>
    <w:rsid w:val="00061B46"/>
    <w:rsid w:val="00062118"/>
    <w:rsid w:val="000621AD"/>
    <w:rsid w:val="00062634"/>
    <w:rsid w:val="00062D48"/>
    <w:rsid w:val="0006361A"/>
    <w:rsid w:val="00063FEB"/>
    <w:rsid w:val="0006445A"/>
    <w:rsid w:val="000660BF"/>
    <w:rsid w:val="00066866"/>
    <w:rsid w:val="00066982"/>
    <w:rsid w:val="000670CA"/>
    <w:rsid w:val="00070DFB"/>
    <w:rsid w:val="0007300D"/>
    <w:rsid w:val="000734DE"/>
    <w:rsid w:val="00073C26"/>
    <w:rsid w:val="00075D67"/>
    <w:rsid w:val="000765BD"/>
    <w:rsid w:val="0007676A"/>
    <w:rsid w:val="000770B3"/>
    <w:rsid w:val="000802A7"/>
    <w:rsid w:val="000804F9"/>
    <w:rsid w:val="00080866"/>
    <w:rsid w:val="00081297"/>
    <w:rsid w:val="000816BE"/>
    <w:rsid w:val="00081B3C"/>
    <w:rsid w:val="00082596"/>
    <w:rsid w:val="00083D9B"/>
    <w:rsid w:val="000845C1"/>
    <w:rsid w:val="00090115"/>
    <w:rsid w:val="00090448"/>
    <w:rsid w:val="00092342"/>
    <w:rsid w:val="0009238B"/>
    <w:rsid w:val="000928BB"/>
    <w:rsid w:val="0009399E"/>
    <w:rsid w:val="00094489"/>
    <w:rsid w:val="00094522"/>
    <w:rsid w:val="00094B22"/>
    <w:rsid w:val="00096130"/>
    <w:rsid w:val="00096AB9"/>
    <w:rsid w:val="00096D73"/>
    <w:rsid w:val="00096E36"/>
    <w:rsid w:val="000973DA"/>
    <w:rsid w:val="00097977"/>
    <w:rsid w:val="000A062D"/>
    <w:rsid w:val="000A12CB"/>
    <w:rsid w:val="000A2B22"/>
    <w:rsid w:val="000A32AE"/>
    <w:rsid w:val="000A34E9"/>
    <w:rsid w:val="000A3C7B"/>
    <w:rsid w:val="000A57D7"/>
    <w:rsid w:val="000A5A7A"/>
    <w:rsid w:val="000A69C6"/>
    <w:rsid w:val="000A6AA5"/>
    <w:rsid w:val="000A75EC"/>
    <w:rsid w:val="000A7F97"/>
    <w:rsid w:val="000B12CA"/>
    <w:rsid w:val="000B1A79"/>
    <w:rsid w:val="000B1A92"/>
    <w:rsid w:val="000B2C2A"/>
    <w:rsid w:val="000B3458"/>
    <w:rsid w:val="000B3E18"/>
    <w:rsid w:val="000B477B"/>
    <w:rsid w:val="000B4937"/>
    <w:rsid w:val="000B4B07"/>
    <w:rsid w:val="000B5926"/>
    <w:rsid w:val="000B5C33"/>
    <w:rsid w:val="000B6000"/>
    <w:rsid w:val="000B7C99"/>
    <w:rsid w:val="000C0B68"/>
    <w:rsid w:val="000C100A"/>
    <w:rsid w:val="000C1163"/>
    <w:rsid w:val="000C1B47"/>
    <w:rsid w:val="000C2943"/>
    <w:rsid w:val="000C29FD"/>
    <w:rsid w:val="000C2BF9"/>
    <w:rsid w:val="000C38A1"/>
    <w:rsid w:val="000C4185"/>
    <w:rsid w:val="000C57ED"/>
    <w:rsid w:val="000C5AB4"/>
    <w:rsid w:val="000C5E83"/>
    <w:rsid w:val="000C5EBB"/>
    <w:rsid w:val="000C5FAF"/>
    <w:rsid w:val="000C617C"/>
    <w:rsid w:val="000D0418"/>
    <w:rsid w:val="000D0CFC"/>
    <w:rsid w:val="000D13C2"/>
    <w:rsid w:val="000D2EAC"/>
    <w:rsid w:val="000D309B"/>
    <w:rsid w:val="000D434A"/>
    <w:rsid w:val="000D5E58"/>
    <w:rsid w:val="000D61FC"/>
    <w:rsid w:val="000D70C4"/>
    <w:rsid w:val="000D79C2"/>
    <w:rsid w:val="000E1647"/>
    <w:rsid w:val="000E181D"/>
    <w:rsid w:val="000E1E04"/>
    <w:rsid w:val="000E3E13"/>
    <w:rsid w:val="000E405C"/>
    <w:rsid w:val="000E4E21"/>
    <w:rsid w:val="000E7440"/>
    <w:rsid w:val="000E7CF2"/>
    <w:rsid w:val="000F003E"/>
    <w:rsid w:val="000F07CD"/>
    <w:rsid w:val="000F1323"/>
    <w:rsid w:val="000F1EBE"/>
    <w:rsid w:val="000F2120"/>
    <w:rsid w:val="000F21CF"/>
    <w:rsid w:val="000F2295"/>
    <w:rsid w:val="000F2BD8"/>
    <w:rsid w:val="000F303F"/>
    <w:rsid w:val="000F5294"/>
    <w:rsid w:val="000F5490"/>
    <w:rsid w:val="000F5523"/>
    <w:rsid w:val="000F67CE"/>
    <w:rsid w:val="000F6813"/>
    <w:rsid w:val="000F6A68"/>
    <w:rsid w:val="000F6C9F"/>
    <w:rsid w:val="00100257"/>
    <w:rsid w:val="00100470"/>
    <w:rsid w:val="001008F7"/>
    <w:rsid w:val="00100B5B"/>
    <w:rsid w:val="00100F11"/>
    <w:rsid w:val="00101A79"/>
    <w:rsid w:val="00102C7E"/>
    <w:rsid w:val="00102EEE"/>
    <w:rsid w:val="001037B8"/>
    <w:rsid w:val="001041BB"/>
    <w:rsid w:val="00104F9D"/>
    <w:rsid w:val="00105B4E"/>
    <w:rsid w:val="001064EA"/>
    <w:rsid w:val="001073D0"/>
    <w:rsid w:val="001074C4"/>
    <w:rsid w:val="00107918"/>
    <w:rsid w:val="00110026"/>
    <w:rsid w:val="0011111E"/>
    <w:rsid w:val="0011127C"/>
    <w:rsid w:val="001116C4"/>
    <w:rsid w:val="00111A9C"/>
    <w:rsid w:val="00112543"/>
    <w:rsid w:val="00112C77"/>
    <w:rsid w:val="00112D5A"/>
    <w:rsid w:val="001137EA"/>
    <w:rsid w:val="00117314"/>
    <w:rsid w:val="001173D7"/>
    <w:rsid w:val="001207C4"/>
    <w:rsid w:val="00120F5D"/>
    <w:rsid w:val="00122F74"/>
    <w:rsid w:val="00124498"/>
    <w:rsid w:val="001248BC"/>
    <w:rsid w:val="0012507D"/>
    <w:rsid w:val="00125C6C"/>
    <w:rsid w:val="001260CC"/>
    <w:rsid w:val="0012678C"/>
    <w:rsid w:val="00126CDE"/>
    <w:rsid w:val="001273CD"/>
    <w:rsid w:val="00127554"/>
    <w:rsid w:val="0012791D"/>
    <w:rsid w:val="00130DBB"/>
    <w:rsid w:val="00131413"/>
    <w:rsid w:val="00131B70"/>
    <w:rsid w:val="00133A34"/>
    <w:rsid w:val="00133F6E"/>
    <w:rsid w:val="001347EA"/>
    <w:rsid w:val="00134B73"/>
    <w:rsid w:val="00134EC6"/>
    <w:rsid w:val="001352E1"/>
    <w:rsid w:val="001355BB"/>
    <w:rsid w:val="00135F25"/>
    <w:rsid w:val="0013701D"/>
    <w:rsid w:val="00137542"/>
    <w:rsid w:val="00137E7E"/>
    <w:rsid w:val="00137F27"/>
    <w:rsid w:val="0014405F"/>
    <w:rsid w:val="00144165"/>
    <w:rsid w:val="00144B4F"/>
    <w:rsid w:val="0014582B"/>
    <w:rsid w:val="00145B0D"/>
    <w:rsid w:val="001466AD"/>
    <w:rsid w:val="001471F0"/>
    <w:rsid w:val="0014772E"/>
    <w:rsid w:val="00150440"/>
    <w:rsid w:val="00150BFE"/>
    <w:rsid w:val="0015366C"/>
    <w:rsid w:val="00153F1A"/>
    <w:rsid w:val="001543C3"/>
    <w:rsid w:val="001552F8"/>
    <w:rsid w:val="00155DB0"/>
    <w:rsid w:val="001561E1"/>
    <w:rsid w:val="001567C3"/>
    <w:rsid w:val="001577C7"/>
    <w:rsid w:val="0016117E"/>
    <w:rsid w:val="001617E7"/>
    <w:rsid w:val="001632A6"/>
    <w:rsid w:val="00163595"/>
    <w:rsid w:val="001636F5"/>
    <w:rsid w:val="00163ACB"/>
    <w:rsid w:val="00163D39"/>
    <w:rsid w:val="00164E96"/>
    <w:rsid w:val="0016604C"/>
    <w:rsid w:val="00166073"/>
    <w:rsid w:val="00166527"/>
    <w:rsid w:val="00167E44"/>
    <w:rsid w:val="0017024A"/>
    <w:rsid w:val="00170BFA"/>
    <w:rsid w:val="00170C18"/>
    <w:rsid w:val="00171AF8"/>
    <w:rsid w:val="00172738"/>
    <w:rsid w:val="00173E3C"/>
    <w:rsid w:val="001744DA"/>
    <w:rsid w:val="001748CA"/>
    <w:rsid w:val="00174DCE"/>
    <w:rsid w:val="00174F10"/>
    <w:rsid w:val="00176151"/>
    <w:rsid w:val="00176F8E"/>
    <w:rsid w:val="001774D8"/>
    <w:rsid w:val="00177802"/>
    <w:rsid w:val="00177933"/>
    <w:rsid w:val="00177EFF"/>
    <w:rsid w:val="00180310"/>
    <w:rsid w:val="001809CC"/>
    <w:rsid w:val="00180B52"/>
    <w:rsid w:val="001811DB"/>
    <w:rsid w:val="001818C1"/>
    <w:rsid w:val="00181FB1"/>
    <w:rsid w:val="0018310D"/>
    <w:rsid w:val="0018645A"/>
    <w:rsid w:val="001872E2"/>
    <w:rsid w:val="001879E7"/>
    <w:rsid w:val="00187F7F"/>
    <w:rsid w:val="001907B5"/>
    <w:rsid w:val="00190E4F"/>
    <w:rsid w:val="001912E4"/>
    <w:rsid w:val="001916CF"/>
    <w:rsid w:val="0019189B"/>
    <w:rsid w:val="001919EB"/>
    <w:rsid w:val="00191FC7"/>
    <w:rsid w:val="0019207F"/>
    <w:rsid w:val="001923D3"/>
    <w:rsid w:val="00192604"/>
    <w:rsid w:val="00192AAA"/>
    <w:rsid w:val="00193CCE"/>
    <w:rsid w:val="001949B1"/>
    <w:rsid w:val="001959CA"/>
    <w:rsid w:val="0019663A"/>
    <w:rsid w:val="001970A2"/>
    <w:rsid w:val="00197B14"/>
    <w:rsid w:val="00197C0D"/>
    <w:rsid w:val="001A07EA"/>
    <w:rsid w:val="001A129E"/>
    <w:rsid w:val="001A19E8"/>
    <w:rsid w:val="001A1BD4"/>
    <w:rsid w:val="001A2419"/>
    <w:rsid w:val="001A2C0F"/>
    <w:rsid w:val="001A38DE"/>
    <w:rsid w:val="001A3E8E"/>
    <w:rsid w:val="001A492F"/>
    <w:rsid w:val="001A4C69"/>
    <w:rsid w:val="001A56DE"/>
    <w:rsid w:val="001A588D"/>
    <w:rsid w:val="001A6945"/>
    <w:rsid w:val="001A7003"/>
    <w:rsid w:val="001A7A4D"/>
    <w:rsid w:val="001A7C49"/>
    <w:rsid w:val="001B078A"/>
    <w:rsid w:val="001B09DE"/>
    <w:rsid w:val="001B11EB"/>
    <w:rsid w:val="001B202E"/>
    <w:rsid w:val="001B215A"/>
    <w:rsid w:val="001B222E"/>
    <w:rsid w:val="001B29E8"/>
    <w:rsid w:val="001B4B07"/>
    <w:rsid w:val="001B532C"/>
    <w:rsid w:val="001B6104"/>
    <w:rsid w:val="001B68F5"/>
    <w:rsid w:val="001B69D9"/>
    <w:rsid w:val="001B7846"/>
    <w:rsid w:val="001B7F0A"/>
    <w:rsid w:val="001C09DE"/>
    <w:rsid w:val="001C153C"/>
    <w:rsid w:val="001C1842"/>
    <w:rsid w:val="001C19C9"/>
    <w:rsid w:val="001C1D42"/>
    <w:rsid w:val="001C3D19"/>
    <w:rsid w:val="001C4347"/>
    <w:rsid w:val="001C4B17"/>
    <w:rsid w:val="001C59F0"/>
    <w:rsid w:val="001C5BAD"/>
    <w:rsid w:val="001C632B"/>
    <w:rsid w:val="001C6ACB"/>
    <w:rsid w:val="001C735D"/>
    <w:rsid w:val="001C76BD"/>
    <w:rsid w:val="001C76BE"/>
    <w:rsid w:val="001D0166"/>
    <w:rsid w:val="001D0A33"/>
    <w:rsid w:val="001D0EEB"/>
    <w:rsid w:val="001D12C2"/>
    <w:rsid w:val="001D2BC8"/>
    <w:rsid w:val="001D2BD8"/>
    <w:rsid w:val="001D34D9"/>
    <w:rsid w:val="001D3B34"/>
    <w:rsid w:val="001D4523"/>
    <w:rsid w:val="001D518B"/>
    <w:rsid w:val="001D5302"/>
    <w:rsid w:val="001D5B1D"/>
    <w:rsid w:val="001D6B87"/>
    <w:rsid w:val="001D7B11"/>
    <w:rsid w:val="001D7BA1"/>
    <w:rsid w:val="001D7DF0"/>
    <w:rsid w:val="001E0140"/>
    <w:rsid w:val="001E0597"/>
    <w:rsid w:val="001E05D9"/>
    <w:rsid w:val="001E0F66"/>
    <w:rsid w:val="001E30A6"/>
    <w:rsid w:val="001E38FB"/>
    <w:rsid w:val="001E3DA6"/>
    <w:rsid w:val="001E4118"/>
    <w:rsid w:val="001E4B8C"/>
    <w:rsid w:val="001E5398"/>
    <w:rsid w:val="001E6584"/>
    <w:rsid w:val="001E72C5"/>
    <w:rsid w:val="001F0507"/>
    <w:rsid w:val="001F144E"/>
    <w:rsid w:val="001F16B0"/>
    <w:rsid w:val="001F351B"/>
    <w:rsid w:val="001F4275"/>
    <w:rsid w:val="001F49FF"/>
    <w:rsid w:val="001F5038"/>
    <w:rsid w:val="001F520A"/>
    <w:rsid w:val="001F53AF"/>
    <w:rsid w:val="001F6668"/>
    <w:rsid w:val="001F75C1"/>
    <w:rsid w:val="002004A7"/>
    <w:rsid w:val="00200894"/>
    <w:rsid w:val="00201534"/>
    <w:rsid w:val="002030B0"/>
    <w:rsid w:val="0020353B"/>
    <w:rsid w:val="00203E11"/>
    <w:rsid w:val="00204577"/>
    <w:rsid w:val="00204C07"/>
    <w:rsid w:val="00205692"/>
    <w:rsid w:val="002057C4"/>
    <w:rsid w:val="002061F7"/>
    <w:rsid w:val="002062AB"/>
    <w:rsid w:val="002067C5"/>
    <w:rsid w:val="00206AFA"/>
    <w:rsid w:val="00206E9D"/>
    <w:rsid w:val="00207FF4"/>
    <w:rsid w:val="002102E5"/>
    <w:rsid w:val="00211796"/>
    <w:rsid w:val="0021204D"/>
    <w:rsid w:val="00212C65"/>
    <w:rsid w:val="0021315C"/>
    <w:rsid w:val="0021426B"/>
    <w:rsid w:val="00214390"/>
    <w:rsid w:val="00215F55"/>
    <w:rsid w:val="00216119"/>
    <w:rsid w:val="002164CE"/>
    <w:rsid w:val="00217DAA"/>
    <w:rsid w:val="00220A27"/>
    <w:rsid w:val="00222E0E"/>
    <w:rsid w:val="00224E62"/>
    <w:rsid w:val="00226202"/>
    <w:rsid w:val="00226972"/>
    <w:rsid w:val="00226B2F"/>
    <w:rsid w:val="00226B55"/>
    <w:rsid w:val="002276A6"/>
    <w:rsid w:val="002276B9"/>
    <w:rsid w:val="00227C86"/>
    <w:rsid w:val="002312AB"/>
    <w:rsid w:val="002329CB"/>
    <w:rsid w:val="00233695"/>
    <w:rsid w:val="0023375C"/>
    <w:rsid w:val="00233CEF"/>
    <w:rsid w:val="0023442D"/>
    <w:rsid w:val="002348FE"/>
    <w:rsid w:val="002358D9"/>
    <w:rsid w:val="00235E74"/>
    <w:rsid w:val="0023671E"/>
    <w:rsid w:val="00236E74"/>
    <w:rsid w:val="00237ADD"/>
    <w:rsid w:val="00237C9C"/>
    <w:rsid w:val="00240B1D"/>
    <w:rsid w:val="00240BB1"/>
    <w:rsid w:val="002421B1"/>
    <w:rsid w:val="002428DE"/>
    <w:rsid w:val="00242C8A"/>
    <w:rsid w:val="00244503"/>
    <w:rsid w:val="00245201"/>
    <w:rsid w:val="00245650"/>
    <w:rsid w:val="00245736"/>
    <w:rsid w:val="0024573F"/>
    <w:rsid w:val="00245D72"/>
    <w:rsid w:val="00245F18"/>
    <w:rsid w:val="002467B6"/>
    <w:rsid w:val="00246C64"/>
    <w:rsid w:val="00247874"/>
    <w:rsid w:val="00247AD8"/>
    <w:rsid w:val="002504CF"/>
    <w:rsid w:val="00250FEC"/>
    <w:rsid w:val="00251CED"/>
    <w:rsid w:val="00252006"/>
    <w:rsid w:val="002525AD"/>
    <w:rsid w:val="00252FE4"/>
    <w:rsid w:val="002530E1"/>
    <w:rsid w:val="00253824"/>
    <w:rsid w:val="00254005"/>
    <w:rsid w:val="00254286"/>
    <w:rsid w:val="002545E1"/>
    <w:rsid w:val="00254B00"/>
    <w:rsid w:val="0025569D"/>
    <w:rsid w:val="00255E55"/>
    <w:rsid w:val="00256002"/>
    <w:rsid w:val="00256585"/>
    <w:rsid w:val="00256947"/>
    <w:rsid w:val="002603ED"/>
    <w:rsid w:val="00260510"/>
    <w:rsid w:val="00260E0C"/>
    <w:rsid w:val="002617CC"/>
    <w:rsid w:val="00261A34"/>
    <w:rsid w:val="00261BF8"/>
    <w:rsid w:val="002624F9"/>
    <w:rsid w:val="00262E27"/>
    <w:rsid w:val="00265658"/>
    <w:rsid w:val="0026669F"/>
    <w:rsid w:val="00267396"/>
    <w:rsid w:val="0027006C"/>
    <w:rsid w:val="00270525"/>
    <w:rsid w:val="00270526"/>
    <w:rsid w:val="002705AD"/>
    <w:rsid w:val="00271360"/>
    <w:rsid w:val="00271626"/>
    <w:rsid w:val="00271EB4"/>
    <w:rsid w:val="00271FEE"/>
    <w:rsid w:val="002729FE"/>
    <w:rsid w:val="00273352"/>
    <w:rsid w:val="00273575"/>
    <w:rsid w:val="00273BC6"/>
    <w:rsid w:val="002740CC"/>
    <w:rsid w:val="0027544A"/>
    <w:rsid w:val="002754EF"/>
    <w:rsid w:val="00275D1A"/>
    <w:rsid w:val="00275D4D"/>
    <w:rsid w:val="00275E37"/>
    <w:rsid w:val="00276727"/>
    <w:rsid w:val="00276789"/>
    <w:rsid w:val="00276B06"/>
    <w:rsid w:val="00281635"/>
    <w:rsid w:val="00281BBD"/>
    <w:rsid w:val="00281FA5"/>
    <w:rsid w:val="002820D0"/>
    <w:rsid w:val="0028339F"/>
    <w:rsid w:val="00283E5E"/>
    <w:rsid w:val="002859F2"/>
    <w:rsid w:val="00285A40"/>
    <w:rsid w:val="002875FC"/>
    <w:rsid w:val="00287D2D"/>
    <w:rsid w:val="00287D51"/>
    <w:rsid w:val="00287D52"/>
    <w:rsid w:val="00290715"/>
    <w:rsid w:val="00290A2D"/>
    <w:rsid w:val="00291324"/>
    <w:rsid w:val="00294DF4"/>
    <w:rsid w:val="00295337"/>
    <w:rsid w:val="002969F0"/>
    <w:rsid w:val="00296B73"/>
    <w:rsid w:val="00296D9D"/>
    <w:rsid w:val="00297187"/>
    <w:rsid w:val="002A0500"/>
    <w:rsid w:val="002A0820"/>
    <w:rsid w:val="002A1AF1"/>
    <w:rsid w:val="002A2E1E"/>
    <w:rsid w:val="002A3348"/>
    <w:rsid w:val="002A3ADB"/>
    <w:rsid w:val="002A561C"/>
    <w:rsid w:val="002A5C56"/>
    <w:rsid w:val="002A71D5"/>
    <w:rsid w:val="002B0481"/>
    <w:rsid w:val="002B0504"/>
    <w:rsid w:val="002B0F5E"/>
    <w:rsid w:val="002B1C60"/>
    <w:rsid w:val="002B2342"/>
    <w:rsid w:val="002B2563"/>
    <w:rsid w:val="002B2946"/>
    <w:rsid w:val="002B363D"/>
    <w:rsid w:val="002B3842"/>
    <w:rsid w:val="002B4AEE"/>
    <w:rsid w:val="002B4D8D"/>
    <w:rsid w:val="002B5503"/>
    <w:rsid w:val="002B6135"/>
    <w:rsid w:val="002C0229"/>
    <w:rsid w:val="002C0CBF"/>
    <w:rsid w:val="002C0D29"/>
    <w:rsid w:val="002C0F80"/>
    <w:rsid w:val="002C129D"/>
    <w:rsid w:val="002C2A42"/>
    <w:rsid w:val="002C2A8A"/>
    <w:rsid w:val="002C39DD"/>
    <w:rsid w:val="002C3B37"/>
    <w:rsid w:val="002C4404"/>
    <w:rsid w:val="002C5946"/>
    <w:rsid w:val="002C5F35"/>
    <w:rsid w:val="002C796D"/>
    <w:rsid w:val="002D0B27"/>
    <w:rsid w:val="002D0B59"/>
    <w:rsid w:val="002D0DBC"/>
    <w:rsid w:val="002D0EAB"/>
    <w:rsid w:val="002D2009"/>
    <w:rsid w:val="002D28E7"/>
    <w:rsid w:val="002D4B1B"/>
    <w:rsid w:val="002D5D2B"/>
    <w:rsid w:val="002D60D8"/>
    <w:rsid w:val="002D6202"/>
    <w:rsid w:val="002D74B8"/>
    <w:rsid w:val="002E0514"/>
    <w:rsid w:val="002E12D9"/>
    <w:rsid w:val="002E1E1F"/>
    <w:rsid w:val="002E383E"/>
    <w:rsid w:val="002E462E"/>
    <w:rsid w:val="002E4802"/>
    <w:rsid w:val="002E4A18"/>
    <w:rsid w:val="002E5247"/>
    <w:rsid w:val="002E66CE"/>
    <w:rsid w:val="002E7413"/>
    <w:rsid w:val="002E7D9A"/>
    <w:rsid w:val="002F0052"/>
    <w:rsid w:val="002F06B5"/>
    <w:rsid w:val="002F0B22"/>
    <w:rsid w:val="002F2FA3"/>
    <w:rsid w:val="002F3059"/>
    <w:rsid w:val="002F43A0"/>
    <w:rsid w:val="002F4B30"/>
    <w:rsid w:val="002F594F"/>
    <w:rsid w:val="002F64D4"/>
    <w:rsid w:val="002F71D3"/>
    <w:rsid w:val="002F721B"/>
    <w:rsid w:val="002F7A99"/>
    <w:rsid w:val="002F7F51"/>
    <w:rsid w:val="003006D9"/>
    <w:rsid w:val="00300AC2"/>
    <w:rsid w:val="003017ED"/>
    <w:rsid w:val="00301828"/>
    <w:rsid w:val="0030219C"/>
    <w:rsid w:val="00302698"/>
    <w:rsid w:val="0030337A"/>
    <w:rsid w:val="00303FD5"/>
    <w:rsid w:val="00304956"/>
    <w:rsid w:val="00304A8A"/>
    <w:rsid w:val="00304E21"/>
    <w:rsid w:val="00306064"/>
    <w:rsid w:val="003064CB"/>
    <w:rsid w:val="00306AC5"/>
    <w:rsid w:val="00310385"/>
    <w:rsid w:val="003107CB"/>
    <w:rsid w:val="00310EB5"/>
    <w:rsid w:val="003116B6"/>
    <w:rsid w:val="003118E1"/>
    <w:rsid w:val="00311944"/>
    <w:rsid w:val="00311A22"/>
    <w:rsid w:val="00311A6B"/>
    <w:rsid w:val="00311BCA"/>
    <w:rsid w:val="00311D28"/>
    <w:rsid w:val="00311EE9"/>
    <w:rsid w:val="003128B3"/>
    <w:rsid w:val="00312F2B"/>
    <w:rsid w:val="0031323B"/>
    <w:rsid w:val="00313BC4"/>
    <w:rsid w:val="00314A4F"/>
    <w:rsid w:val="00314ECB"/>
    <w:rsid w:val="00315413"/>
    <w:rsid w:val="00316576"/>
    <w:rsid w:val="00317494"/>
    <w:rsid w:val="00321245"/>
    <w:rsid w:val="00321408"/>
    <w:rsid w:val="0032197F"/>
    <w:rsid w:val="00322376"/>
    <w:rsid w:val="00322490"/>
    <w:rsid w:val="003230E5"/>
    <w:rsid w:val="0032350D"/>
    <w:rsid w:val="00323FF4"/>
    <w:rsid w:val="00324A2B"/>
    <w:rsid w:val="003251A0"/>
    <w:rsid w:val="00325509"/>
    <w:rsid w:val="00325E58"/>
    <w:rsid w:val="00325F62"/>
    <w:rsid w:val="00326EAD"/>
    <w:rsid w:val="0033041D"/>
    <w:rsid w:val="00331C29"/>
    <w:rsid w:val="00333803"/>
    <w:rsid w:val="00333E7A"/>
    <w:rsid w:val="00333FFC"/>
    <w:rsid w:val="00336D04"/>
    <w:rsid w:val="00340F74"/>
    <w:rsid w:val="00341677"/>
    <w:rsid w:val="00342D15"/>
    <w:rsid w:val="003441B9"/>
    <w:rsid w:val="00344B9E"/>
    <w:rsid w:val="00344BDB"/>
    <w:rsid w:val="0034527B"/>
    <w:rsid w:val="00345C7B"/>
    <w:rsid w:val="00345D6E"/>
    <w:rsid w:val="003468D0"/>
    <w:rsid w:val="0034776B"/>
    <w:rsid w:val="0035039E"/>
    <w:rsid w:val="003503E4"/>
    <w:rsid w:val="00351E51"/>
    <w:rsid w:val="0035228D"/>
    <w:rsid w:val="00352655"/>
    <w:rsid w:val="0035320C"/>
    <w:rsid w:val="0035366D"/>
    <w:rsid w:val="00353762"/>
    <w:rsid w:val="00355E48"/>
    <w:rsid w:val="0035661F"/>
    <w:rsid w:val="0035671F"/>
    <w:rsid w:val="00357B2B"/>
    <w:rsid w:val="00360432"/>
    <w:rsid w:val="0036174F"/>
    <w:rsid w:val="00361EDC"/>
    <w:rsid w:val="00362658"/>
    <w:rsid w:val="0036302C"/>
    <w:rsid w:val="00364BE0"/>
    <w:rsid w:val="00364DF2"/>
    <w:rsid w:val="003658AE"/>
    <w:rsid w:val="00367577"/>
    <w:rsid w:val="0037061A"/>
    <w:rsid w:val="0037081A"/>
    <w:rsid w:val="00370E30"/>
    <w:rsid w:val="00371332"/>
    <w:rsid w:val="00372958"/>
    <w:rsid w:val="00372B0A"/>
    <w:rsid w:val="00372D5E"/>
    <w:rsid w:val="00373509"/>
    <w:rsid w:val="00374339"/>
    <w:rsid w:val="00375345"/>
    <w:rsid w:val="00376230"/>
    <w:rsid w:val="00376B69"/>
    <w:rsid w:val="00376FE3"/>
    <w:rsid w:val="00377535"/>
    <w:rsid w:val="00377DF6"/>
    <w:rsid w:val="00380165"/>
    <w:rsid w:val="00380BD0"/>
    <w:rsid w:val="003811EA"/>
    <w:rsid w:val="00381343"/>
    <w:rsid w:val="0038180F"/>
    <w:rsid w:val="00382982"/>
    <w:rsid w:val="00382B3E"/>
    <w:rsid w:val="00382CAB"/>
    <w:rsid w:val="003830C7"/>
    <w:rsid w:val="003838C3"/>
    <w:rsid w:val="0038474F"/>
    <w:rsid w:val="00384C8E"/>
    <w:rsid w:val="00384EBA"/>
    <w:rsid w:val="0038576F"/>
    <w:rsid w:val="003872B5"/>
    <w:rsid w:val="00387DB8"/>
    <w:rsid w:val="003911EE"/>
    <w:rsid w:val="0039187A"/>
    <w:rsid w:val="00393A9B"/>
    <w:rsid w:val="00393DB5"/>
    <w:rsid w:val="00394531"/>
    <w:rsid w:val="003946B1"/>
    <w:rsid w:val="00395547"/>
    <w:rsid w:val="0039657D"/>
    <w:rsid w:val="00396EA1"/>
    <w:rsid w:val="003A01F2"/>
    <w:rsid w:val="003A0415"/>
    <w:rsid w:val="003A0959"/>
    <w:rsid w:val="003A0C94"/>
    <w:rsid w:val="003A190E"/>
    <w:rsid w:val="003A2508"/>
    <w:rsid w:val="003A2E69"/>
    <w:rsid w:val="003A40D4"/>
    <w:rsid w:val="003A4F18"/>
    <w:rsid w:val="003A6DA7"/>
    <w:rsid w:val="003A71EA"/>
    <w:rsid w:val="003A730B"/>
    <w:rsid w:val="003A7342"/>
    <w:rsid w:val="003A7EAC"/>
    <w:rsid w:val="003B1970"/>
    <w:rsid w:val="003B2192"/>
    <w:rsid w:val="003B32B0"/>
    <w:rsid w:val="003B334F"/>
    <w:rsid w:val="003B57F3"/>
    <w:rsid w:val="003B6EF1"/>
    <w:rsid w:val="003B7541"/>
    <w:rsid w:val="003B77C3"/>
    <w:rsid w:val="003B7AB1"/>
    <w:rsid w:val="003B7C64"/>
    <w:rsid w:val="003B7E96"/>
    <w:rsid w:val="003C06B6"/>
    <w:rsid w:val="003C0A47"/>
    <w:rsid w:val="003C0E5D"/>
    <w:rsid w:val="003C1C62"/>
    <w:rsid w:val="003C2B83"/>
    <w:rsid w:val="003C486D"/>
    <w:rsid w:val="003C52E3"/>
    <w:rsid w:val="003C5357"/>
    <w:rsid w:val="003C608E"/>
    <w:rsid w:val="003C6562"/>
    <w:rsid w:val="003C66BB"/>
    <w:rsid w:val="003C699C"/>
    <w:rsid w:val="003C7188"/>
    <w:rsid w:val="003C77B0"/>
    <w:rsid w:val="003D0992"/>
    <w:rsid w:val="003D3491"/>
    <w:rsid w:val="003D451C"/>
    <w:rsid w:val="003D452C"/>
    <w:rsid w:val="003D46ED"/>
    <w:rsid w:val="003D52B3"/>
    <w:rsid w:val="003D57E6"/>
    <w:rsid w:val="003D5FB9"/>
    <w:rsid w:val="003D65DC"/>
    <w:rsid w:val="003D6CB3"/>
    <w:rsid w:val="003D79DD"/>
    <w:rsid w:val="003E0263"/>
    <w:rsid w:val="003E0DB7"/>
    <w:rsid w:val="003E172D"/>
    <w:rsid w:val="003E2C89"/>
    <w:rsid w:val="003E2E63"/>
    <w:rsid w:val="003E3940"/>
    <w:rsid w:val="003E49FE"/>
    <w:rsid w:val="003E4E40"/>
    <w:rsid w:val="003E55FF"/>
    <w:rsid w:val="003E5A6B"/>
    <w:rsid w:val="003E6CA3"/>
    <w:rsid w:val="003E7038"/>
    <w:rsid w:val="003E7E08"/>
    <w:rsid w:val="003F078B"/>
    <w:rsid w:val="003F0A63"/>
    <w:rsid w:val="003F0B02"/>
    <w:rsid w:val="003F142D"/>
    <w:rsid w:val="003F177F"/>
    <w:rsid w:val="003F1A2E"/>
    <w:rsid w:val="003F1E2D"/>
    <w:rsid w:val="003F2186"/>
    <w:rsid w:val="003F22E2"/>
    <w:rsid w:val="003F2557"/>
    <w:rsid w:val="003F2B7C"/>
    <w:rsid w:val="003F2D6B"/>
    <w:rsid w:val="003F3BBA"/>
    <w:rsid w:val="003F409F"/>
    <w:rsid w:val="003F4B4A"/>
    <w:rsid w:val="003F56E5"/>
    <w:rsid w:val="003F5A8A"/>
    <w:rsid w:val="003F6124"/>
    <w:rsid w:val="003F6999"/>
    <w:rsid w:val="003F747D"/>
    <w:rsid w:val="00400E98"/>
    <w:rsid w:val="00401ED0"/>
    <w:rsid w:val="004029B1"/>
    <w:rsid w:val="00403CFA"/>
    <w:rsid w:val="004052FA"/>
    <w:rsid w:val="00405456"/>
    <w:rsid w:val="00406248"/>
    <w:rsid w:val="00406580"/>
    <w:rsid w:val="00407356"/>
    <w:rsid w:val="00407C42"/>
    <w:rsid w:val="00407D43"/>
    <w:rsid w:val="00410EF7"/>
    <w:rsid w:val="00412B22"/>
    <w:rsid w:val="00413055"/>
    <w:rsid w:val="00413DA1"/>
    <w:rsid w:val="00413DE7"/>
    <w:rsid w:val="00414D3E"/>
    <w:rsid w:val="00416160"/>
    <w:rsid w:val="004179AE"/>
    <w:rsid w:val="004203B7"/>
    <w:rsid w:val="004206B3"/>
    <w:rsid w:val="0042097F"/>
    <w:rsid w:val="004232CB"/>
    <w:rsid w:val="00423D12"/>
    <w:rsid w:val="00425151"/>
    <w:rsid w:val="00425262"/>
    <w:rsid w:val="0042620F"/>
    <w:rsid w:val="004279A8"/>
    <w:rsid w:val="00430D0B"/>
    <w:rsid w:val="00431190"/>
    <w:rsid w:val="004317EC"/>
    <w:rsid w:val="00431C30"/>
    <w:rsid w:val="004320D5"/>
    <w:rsid w:val="004320F9"/>
    <w:rsid w:val="004327D0"/>
    <w:rsid w:val="00433837"/>
    <w:rsid w:val="00434E98"/>
    <w:rsid w:val="00436090"/>
    <w:rsid w:val="00436C20"/>
    <w:rsid w:val="00437215"/>
    <w:rsid w:val="00440C52"/>
    <w:rsid w:val="004433C4"/>
    <w:rsid w:val="00443EDB"/>
    <w:rsid w:val="00445C17"/>
    <w:rsid w:val="004466D3"/>
    <w:rsid w:val="004469E7"/>
    <w:rsid w:val="004476F7"/>
    <w:rsid w:val="0044779A"/>
    <w:rsid w:val="00450698"/>
    <w:rsid w:val="004512C8"/>
    <w:rsid w:val="00453911"/>
    <w:rsid w:val="00453BB5"/>
    <w:rsid w:val="00453BD1"/>
    <w:rsid w:val="00454308"/>
    <w:rsid w:val="00454BD1"/>
    <w:rsid w:val="00455A03"/>
    <w:rsid w:val="00455B17"/>
    <w:rsid w:val="00455C4C"/>
    <w:rsid w:val="00456027"/>
    <w:rsid w:val="0045620B"/>
    <w:rsid w:val="004572AE"/>
    <w:rsid w:val="00457B9E"/>
    <w:rsid w:val="00457E8B"/>
    <w:rsid w:val="0046211A"/>
    <w:rsid w:val="00462869"/>
    <w:rsid w:val="0046349D"/>
    <w:rsid w:val="0046357F"/>
    <w:rsid w:val="00463BC0"/>
    <w:rsid w:val="00463DB2"/>
    <w:rsid w:val="004643F1"/>
    <w:rsid w:val="00464E7F"/>
    <w:rsid w:val="00465A05"/>
    <w:rsid w:val="00465DDA"/>
    <w:rsid w:val="00467516"/>
    <w:rsid w:val="00467E07"/>
    <w:rsid w:val="00471CE6"/>
    <w:rsid w:val="00471DA5"/>
    <w:rsid w:val="00471FF9"/>
    <w:rsid w:val="00472015"/>
    <w:rsid w:val="00472623"/>
    <w:rsid w:val="0047291E"/>
    <w:rsid w:val="004729FF"/>
    <w:rsid w:val="00472BA6"/>
    <w:rsid w:val="00472D3E"/>
    <w:rsid w:val="0047363C"/>
    <w:rsid w:val="00475AFE"/>
    <w:rsid w:val="004765E2"/>
    <w:rsid w:val="00476AE4"/>
    <w:rsid w:val="0047721D"/>
    <w:rsid w:val="004777A9"/>
    <w:rsid w:val="00477EE1"/>
    <w:rsid w:val="00477F6A"/>
    <w:rsid w:val="00480197"/>
    <w:rsid w:val="00480A33"/>
    <w:rsid w:val="004823AA"/>
    <w:rsid w:val="00483B97"/>
    <w:rsid w:val="00483F60"/>
    <w:rsid w:val="004866C2"/>
    <w:rsid w:val="00486A58"/>
    <w:rsid w:val="004876C9"/>
    <w:rsid w:val="0049000D"/>
    <w:rsid w:val="00490CE4"/>
    <w:rsid w:val="00490EF4"/>
    <w:rsid w:val="004922D5"/>
    <w:rsid w:val="00492F80"/>
    <w:rsid w:val="004940B2"/>
    <w:rsid w:val="00494411"/>
    <w:rsid w:val="00495C99"/>
    <w:rsid w:val="00495EF0"/>
    <w:rsid w:val="0049692A"/>
    <w:rsid w:val="004976B8"/>
    <w:rsid w:val="00497AD7"/>
    <w:rsid w:val="004A025E"/>
    <w:rsid w:val="004A035D"/>
    <w:rsid w:val="004A173E"/>
    <w:rsid w:val="004A2145"/>
    <w:rsid w:val="004A2352"/>
    <w:rsid w:val="004A2C10"/>
    <w:rsid w:val="004A302C"/>
    <w:rsid w:val="004A4392"/>
    <w:rsid w:val="004A55D6"/>
    <w:rsid w:val="004A6454"/>
    <w:rsid w:val="004A7895"/>
    <w:rsid w:val="004A7AF8"/>
    <w:rsid w:val="004A7BFA"/>
    <w:rsid w:val="004B0769"/>
    <w:rsid w:val="004B16FA"/>
    <w:rsid w:val="004B17D9"/>
    <w:rsid w:val="004B3717"/>
    <w:rsid w:val="004B5A71"/>
    <w:rsid w:val="004B5C53"/>
    <w:rsid w:val="004B5CE1"/>
    <w:rsid w:val="004B795A"/>
    <w:rsid w:val="004B79BE"/>
    <w:rsid w:val="004C0141"/>
    <w:rsid w:val="004C057C"/>
    <w:rsid w:val="004C134F"/>
    <w:rsid w:val="004C34E8"/>
    <w:rsid w:val="004C3597"/>
    <w:rsid w:val="004C4225"/>
    <w:rsid w:val="004C48D3"/>
    <w:rsid w:val="004C6B62"/>
    <w:rsid w:val="004C74D5"/>
    <w:rsid w:val="004D01C6"/>
    <w:rsid w:val="004D05A9"/>
    <w:rsid w:val="004D0EF3"/>
    <w:rsid w:val="004D117D"/>
    <w:rsid w:val="004D1548"/>
    <w:rsid w:val="004D1AF2"/>
    <w:rsid w:val="004D1BC1"/>
    <w:rsid w:val="004D1E2B"/>
    <w:rsid w:val="004D238A"/>
    <w:rsid w:val="004D2948"/>
    <w:rsid w:val="004D2B8F"/>
    <w:rsid w:val="004D308E"/>
    <w:rsid w:val="004D3367"/>
    <w:rsid w:val="004D34FC"/>
    <w:rsid w:val="004D4D06"/>
    <w:rsid w:val="004D4D61"/>
    <w:rsid w:val="004D50A5"/>
    <w:rsid w:val="004D6A33"/>
    <w:rsid w:val="004D7042"/>
    <w:rsid w:val="004D7C70"/>
    <w:rsid w:val="004E05A2"/>
    <w:rsid w:val="004E0939"/>
    <w:rsid w:val="004E095A"/>
    <w:rsid w:val="004E09C8"/>
    <w:rsid w:val="004E0A06"/>
    <w:rsid w:val="004E1908"/>
    <w:rsid w:val="004E3283"/>
    <w:rsid w:val="004E4155"/>
    <w:rsid w:val="004E4294"/>
    <w:rsid w:val="004E4374"/>
    <w:rsid w:val="004E62E2"/>
    <w:rsid w:val="004E71E5"/>
    <w:rsid w:val="004E71FF"/>
    <w:rsid w:val="004E7309"/>
    <w:rsid w:val="004E77B3"/>
    <w:rsid w:val="004E7F74"/>
    <w:rsid w:val="004F0005"/>
    <w:rsid w:val="004F0704"/>
    <w:rsid w:val="004F42A2"/>
    <w:rsid w:val="004F47A6"/>
    <w:rsid w:val="004F5D4E"/>
    <w:rsid w:val="004F6EF3"/>
    <w:rsid w:val="004F7CFC"/>
    <w:rsid w:val="005015E8"/>
    <w:rsid w:val="0050225A"/>
    <w:rsid w:val="005024D0"/>
    <w:rsid w:val="00502EAA"/>
    <w:rsid w:val="00503EAF"/>
    <w:rsid w:val="005043B1"/>
    <w:rsid w:val="0050513C"/>
    <w:rsid w:val="00505BAC"/>
    <w:rsid w:val="00506E7C"/>
    <w:rsid w:val="00507906"/>
    <w:rsid w:val="00510440"/>
    <w:rsid w:val="005120FC"/>
    <w:rsid w:val="00513343"/>
    <w:rsid w:val="005135BC"/>
    <w:rsid w:val="005136FD"/>
    <w:rsid w:val="0051469E"/>
    <w:rsid w:val="0051487A"/>
    <w:rsid w:val="0051492C"/>
    <w:rsid w:val="005149D1"/>
    <w:rsid w:val="00514B15"/>
    <w:rsid w:val="0051588C"/>
    <w:rsid w:val="00515B27"/>
    <w:rsid w:val="00520712"/>
    <w:rsid w:val="005209B1"/>
    <w:rsid w:val="00522D98"/>
    <w:rsid w:val="005231B2"/>
    <w:rsid w:val="0052361A"/>
    <w:rsid w:val="00523975"/>
    <w:rsid w:val="00524973"/>
    <w:rsid w:val="005252F3"/>
    <w:rsid w:val="00525529"/>
    <w:rsid w:val="00525A4E"/>
    <w:rsid w:val="0052607B"/>
    <w:rsid w:val="005262DD"/>
    <w:rsid w:val="00526C86"/>
    <w:rsid w:val="00527AAB"/>
    <w:rsid w:val="00530DE6"/>
    <w:rsid w:val="00531009"/>
    <w:rsid w:val="00531020"/>
    <w:rsid w:val="0053165D"/>
    <w:rsid w:val="0053171C"/>
    <w:rsid w:val="005322A3"/>
    <w:rsid w:val="00532AAB"/>
    <w:rsid w:val="00532D8A"/>
    <w:rsid w:val="00534D14"/>
    <w:rsid w:val="00534E8D"/>
    <w:rsid w:val="005352BB"/>
    <w:rsid w:val="00535D0C"/>
    <w:rsid w:val="0053684B"/>
    <w:rsid w:val="00536A08"/>
    <w:rsid w:val="00537987"/>
    <w:rsid w:val="00537EDF"/>
    <w:rsid w:val="00542CF8"/>
    <w:rsid w:val="0054307B"/>
    <w:rsid w:val="00544192"/>
    <w:rsid w:val="005449D0"/>
    <w:rsid w:val="00545E53"/>
    <w:rsid w:val="00546AF1"/>
    <w:rsid w:val="00547500"/>
    <w:rsid w:val="00550529"/>
    <w:rsid w:val="00550B3F"/>
    <w:rsid w:val="0055140C"/>
    <w:rsid w:val="00551EF0"/>
    <w:rsid w:val="0055206F"/>
    <w:rsid w:val="00552619"/>
    <w:rsid w:val="00552EC5"/>
    <w:rsid w:val="00553729"/>
    <w:rsid w:val="00553A56"/>
    <w:rsid w:val="005542BB"/>
    <w:rsid w:val="005556D0"/>
    <w:rsid w:val="00555DD5"/>
    <w:rsid w:val="005569CB"/>
    <w:rsid w:val="00556D46"/>
    <w:rsid w:val="00557062"/>
    <w:rsid w:val="00557A35"/>
    <w:rsid w:val="00557A84"/>
    <w:rsid w:val="00557C05"/>
    <w:rsid w:val="00560CFF"/>
    <w:rsid w:val="00560D8F"/>
    <w:rsid w:val="005634C1"/>
    <w:rsid w:val="00564274"/>
    <w:rsid w:val="00565347"/>
    <w:rsid w:val="005657C9"/>
    <w:rsid w:val="00565919"/>
    <w:rsid w:val="00565949"/>
    <w:rsid w:val="00566831"/>
    <w:rsid w:val="00566ACD"/>
    <w:rsid w:val="00566D8E"/>
    <w:rsid w:val="00566E17"/>
    <w:rsid w:val="00567DFD"/>
    <w:rsid w:val="005704CE"/>
    <w:rsid w:val="00570641"/>
    <w:rsid w:val="00571E20"/>
    <w:rsid w:val="00571E7B"/>
    <w:rsid w:val="00571F9F"/>
    <w:rsid w:val="00572BEB"/>
    <w:rsid w:val="00572C5C"/>
    <w:rsid w:val="00574D38"/>
    <w:rsid w:val="00576215"/>
    <w:rsid w:val="00576CF7"/>
    <w:rsid w:val="00576EF7"/>
    <w:rsid w:val="00577331"/>
    <w:rsid w:val="00580731"/>
    <w:rsid w:val="00581853"/>
    <w:rsid w:val="0058253D"/>
    <w:rsid w:val="00582DF0"/>
    <w:rsid w:val="00583206"/>
    <w:rsid w:val="005832E9"/>
    <w:rsid w:val="0058339C"/>
    <w:rsid w:val="005838EE"/>
    <w:rsid w:val="0058390A"/>
    <w:rsid w:val="00583C3D"/>
    <w:rsid w:val="00583D50"/>
    <w:rsid w:val="00584331"/>
    <w:rsid w:val="00584F72"/>
    <w:rsid w:val="00585099"/>
    <w:rsid w:val="00585573"/>
    <w:rsid w:val="005858AD"/>
    <w:rsid w:val="005864B6"/>
    <w:rsid w:val="00586CC6"/>
    <w:rsid w:val="005872B9"/>
    <w:rsid w:val="00587540"/>
    <w:rsid w:val="00587AFF"/>
    <w:rsid w:val="00590915"/>
    <w:rsid w:val="00590FC4"/>
    <w:rsid w:val="00591646"/>
    <w:rsid w:val="00592176"/>
    <w:rsid w:val="00593360"/>
    <w:rsid w:val="00594533"/>
    <w:rsid w:val="00594545"/>
    <w:rsid w:val="00594E8A"/>
    <w:rsid w:val="00596D10"/>
    <w:rsid w:val="00596ED5"/>
    <w:rsid w:val="00597868"/>
    <w:rsid w:val="00597CAB"/>
    <w:rsid w:val="005A04E6"/>
    <w:rsid w:val="005A0731"/>
    <w:rsid w:val="005A0958"/>
    <w:rsid w:val="005A22D8"/>
    <w:rsid w:val="005A35A3"/>
    <w:rsid w:val="005A3B20"/>
    <w:rsid w:val="005A422C"/>
    <w:rsid w:val="005A609E"/>
    <w:rsid w:val="005A60B9"/>
    <w:rsid w:val="005A62E2"/>
    <w:rsid w:val="005A6B1E"/>
    <w:rsid w:val="005A6D29"/>
    <w:rsid w:val="005A75D0"/>
    <w:rsid w:val="005A7C7E"/>
    <w:rsid w:val="005A7F13"/>
    <w:rsid w:val="005B0142"/>
    <w:rsid w:val="005B09DB"/>
    <w:rsid w:val="005B16BC"/>
    <w:rsid w:val="005B20CE"/>
    <w:rsid w:val="005B3672"/>
    <w:rsid w:val="005B48A8"/>
    <w:rsid w:val="005B555C"/>
    <w:rsid w:val="005B5ABB"/>
    <w:rsid w:val="005B6850"/>
    <w:rsid w:val="005B6FC8"/>
    <w:rsid w:val="005B72FB"/>
    <w:rsid w:val="005B73DB"/>
    <w:rsid w:val="005B79E3"/>
    <w:rsid w:val="005B7C30"/>
    <w:rsid w:val="005C03B8"/>
    <w:rsid w:val="005C0408"/>
    <w:rsid w:val="005C1093"/>
    <w:rsid w:val="005C144D"/>
    <w:rsid w:val="005C1D14"/>
    <w:rsid w:val="005C237D"/>
    <w:rsid w:val="005C432C"/>
    <w:rsid w:val="005C6D42"/>
    <w:rsid w:val="005C7BAF"/>
    <w:rsid w:val="005C7CEC"/>
    <w:rsid w:val="005D0CCC"/>
    <w:rsid w:val="005D10E7"/>
    <w:rsid w:val="005D2743"/>
    <w:rsid w:val="005D2985"/>
    <w:rsid w:val="005D2CE9"/>
    <w:rsid w:val="005D38C8"/>
    <w:rsid w:val="005D3EC2"/>
    <w:rsid w:val="005D4D5B"/>
    <w:rsid w:val="005D5210"/>
    <w:rsid w:val="005D5FF4"/>
    <w:rsid w:val="005D7D1E"/>
    <w:rsid w:val="005E021D"/>
    <w:rsid w:val="005E09C2"/>
    <w:rsid w:val="005E1A81"/>
    <w:rsid w:val="005E4078"/>
    <w:rsid w:val="005E44C0"/>
    <w:rsid w:val="005E47D8"/>
    <w:rsid w:val="005E490D"/>
    <w:rsid w:val="005E510F"/>
    <w:rsid w:val="005E6BE4"/>
    <w:rsid w:val="005E6C59"/>
    <w:rsid w:val="005E7C4C"/>
    <w:rsid w:val="005F018C"/>
    <w:rsid w:val="005F021F"/>
    <w:rsid w:val="005F0606"/>
    <w:rsid w:val="005F2951"/>
    <w:rsid w:val="005F2C47"/>
    <w:rsid w:val="005F2D63"/>
    <w:rsid w:val="005F2F4A"/>
    <w:rsid w:val="005F3AF3"/>
    <w:rsid w:val="005F41D6"/>
    <w:rsid w:val="005F4511"/>
    <w:rsid w:val="005F4E25"/>
    <w:rsid w:val="005F4F49"/>
    <w:rsid w:val="005F56C1"/>
    <w:rsid w:val="005F62C6"/>
    <w:rsid w:val="00600546"/>
    <w:rsid w:val="00601BED"/>
    <w:rsid w:val="006021D0"/>
    <w:rsid w:val="0060308B"/>
    <w:rsid w:val="00604AE5"/>
    <w:rsid w:val="00604D12"/>
    <w:rsid w:val="006056C3"/>
    <w:rsid w:val="0060574D"/>
    <w:rsid w:val="00605986"/>
    <w:rsid w:val="00605D5C"/>
    <w:rsid w:val="006062E0"/>
    <w:rsid w:val="00606D80"/>
    <w:rsid w:val="0060772F"/>
    <w:rsid w:val="0060794C"/>
    <w:rsid w:val="006101F8"/>
    <w:rsid w:val="006108C5"/>
    <w:rsid w:val="006112D6"/>
    <w:rsid w:val="00613293"/>
    <w:rsid w:val="0061470B"/>
    <w:rsid w:val="00614A49"/>
    <w:rsid w:val="006151A0"/>
    <w:rsid w:val="00615F03"/>
    <w:rsid w:val="006170AF"/>
    <w:rsid w:val="00617F47"/>
    <w:rsid w:val="00620DAA"/>
    <w:rsid w:val="00621150"/>
    <w:rsid w:val="00621BE3"/>
    <w:rsid w:val="0062204E"/>
    <w:rsid w:val="006231F7"/>
    <w:rsid w:val="0062323A"/>
    <w:rsid w:val="00624243"/>
    <w:rsid w:val="00624AA6"/>
    <w:rsid w:val="00624D5A"/>
    <w:rsid w:val="00624DCB"/>
    <w:rsid w:val="0062507A"/>
    <w:rsid w:val="00625766"/>
    <w:rsid w:val="00625966"/>
    <w:rsid w:val="00625B44"/>
    <w:rsid w:val="00627398"/>
    <w:rsid w:val="00627D14"/>
    <w:rsid w:val="0063160F"/>
    <w:rsid w:val="00631B57"/>
    <w:rsid w:val="00631F02"/>
    <w:rsid w:val="00631FDD"/>
    <w:rsid w:val="0063313C"/>
    <w:rsid w:val="00633154"/>
    <w:rsid w:val="006331EB"/>
    <w:rsid w:val="00633359"/>
    <w:rsid w:val="0063356A"/>
    <w:rsid w:val="00633D26"/>
    <w:rsid w:val="0063457E"/>
    <w:rsid w:val="0063520F"/>
    <w:rsid w:val="00636462"/>
    <w:rsid w:val="006364AB"/>
    <w:rsid w:val="00637707"/>
    <w:rsid w:val="00637958"/>
    <w:rsid w:val="0064139E"/>
    <w:rsid w:val="0064166D"/>
    <w:rsid w:val="006418C7"/>
    <w:rsid w:val="0064190C"/>
    <w:rsid w:val="00643FFF"/>
    <w:rsid w:val="006462B9"/>
    <w:rsid w:val="00646CB1"/>
    <w:rsid w:val="00647135"/>
    <w:rsid w:val="00650353"/>
    <w:rsid w:val="0065103F"/>
    <w:rsid w:val="006516BC"/>
    <w:rsid w:val="00651875"/>
    <w:rsid w:val="00651F21"/>
    <w:rsid w:val="00652FD4"/>
    <w:rsid w:val="006540EE"/>
    <w:rsid w:val="00655BB4"/>
    <w:rsid w:val="00657067"/>
    <w:rsid w:val="00660305"/>
    <w:rsid w:val="00661EA4"/>
    <w:rsid w:val="00661EEC"/>
    <w:rsid w:val="0066209C"/>
    <w:rsid w:val="00662AA6"/>
    <w:rsid w:val="00662F83"/>
    <w:rsid w:val="00663793"/>
    <w:rsid w:val="006646AB"/>
    <w:rsid w:val="006647CE"/>
    <w:rsid w:val="00666494"/>
    <w:rsid w:val="00666888"/>
    <w:rsid w:val="00667AD4"/>
    <w:rsid w:val="00670E2A"/>
    <w:rsid w:val="00671391"/>
    <w:rsid w:val="00671DF4"/>
    <w:rsid w:val="00673843"/>
    <w:rsid w:val="006740EA"/>
    <w:rsid w:val="006745D2"/>
    <w:rsid w:val="006745E4"/>
    <w:rsid w:val="00674FDE"/>
    <w:rsid w:val="00675728"/>
    <w:rsid w:val="00675BDD"/>
    <w:rsid w:val="006767E3"/>
    <w:rsid w:val="00677404"/>
    <w:rsid w:val="00680072"/>
    <w:rsid w:val="006811CF"/>
    <w:rsid w:val="00681955"/>
    <w:rsid w:val="00682F08"/>
    <w:rsid w:val="00686269"/>
    <w:rsid w:val="0068692D"/>
    <w:rsid w:val="00686D1F"/>
    <w:rsid w:val="00687142"/>
    <w:rsid w:val="006873F3"/>
    <w:rsid w:val="00690299"/>
    <w:rsid w:val="00690A30"/>
    <w:rsid w:val="00691A7B"/>
    <w:rsid w:val="00691F74"/>
    <w:rsid w:val="00692D17"/>
    <w:rsid w:val="00693043"/>
    <w:rsid w:val="00693B95"/>
    <w:rsid w:val="00695169"/>
    <w:rsid w:val="006953F6"/>
    <w:rsid w:val="00695A79"/>
    <w:rsid w:val="00696140"/>
    <w:rsid w:val="00696560"/>
    <w:rsid w:val="006A0780"/>
    <w:rsid w:val="006A0902"/>
    <w:rsid w:val="006A0F89"/>
    <w:rsid w:val="006A1558"/>
    <w:rsid w:val="006A1A58"/>
    <w:rsid w:val="006A2CBA"/>
    <w:rsid w:val="006A2E6C"/>
    <w:rsid w:val="006A3B33"/>
    <w:rsid w:val="006A4FC0"/>
    <w:rsid w:val="006A5D54"/>
    <w:rsid w:val="006A660F"/>
    <w:rsid w:val="006A6989"/>
    <w:rsid w:val="006A7369"/>
    <w:rsid w:val="006A74FA"/>
    <w:rsid w:val="006B0CD6"/>
    <w:rsid w:val="006B1674"/>
    <w:rsid w:val="006B179F"/>
    <w:rsid w:val="006B1C20"/>
    <w:rsid w:val="006B29B6"/>
    <w:rsid w:val="006B32A8"/>
    <w:rsid w:val="006B3A22"/>
    <w:rsid w:val="006B3B6A"/>
    <w:rsid w:val="006B6861"/>
    <w:rsid w:val="006B78D2"/>
    <w:rsid w:val="006B7EC4"/>
    <w:rsid w:val="006C0398"/>
    <w:rsid w:val="006C08F5"/>
    <w:rsid w:val="006C09EB"/>
    <w:rsid w:val="006C146B"/>
    <w:rsid w:val="006C1509"/>
    <w:rsid w:val="006C16CC"/>
    <w:rsid w:val="006C1972"/>
    <w:rsid w:val="006C1F14"/>
    <w:rsid w:val="006C25AE"/>
    <w:rsid w:val="006C4B08"/>
    <w:rsid w:val="006C5840"/>
    <w:rsid w:val="006C5DEE"/>
    <w:rsid w:val="006C68D2"/>
    <w:rsid w:val="006D0826"/>
    <w:rsid w:val="006D0EC4"/>
    <w:rsid w:val="006D1035"/>
    <w:rsid w:val="006D26E2"/>
    <w:rsid w:val="006D3FB8"/>
    <w:rsid w:val="006D4846"/>
    <w:rsid w:val="006D4DD2"/>
    <w:rsid w:val="006D609B"/>
    <w:rsid w:val="006D7C04"/>
    <w:rsid w:val="006E2AEA"/>
    <w:rsid w:val="006E349C"/>
    <w:rsid w:val="006E370E"/>
    <w:rsid w:val="006E40F5"/>
    <w:rsid w:val="006E60CD"/>
    <w:rsid w:val="006E69F0"/>
    <w:rsid w:val="006E77CF"/>
    <w:rsid w:val="006F006E"/>
    <w:rsid w:val="006F0468"/>
    <w:rsid w:val="006F09B3"/>
    <w:rsid w:val="006F0DA0"/>
    <w:rsid w:val="006F0DB9"/>
    <w:rsid w:val="006F1D38"/>
    <w:rsid w:val="006F2713"/>
    <w:rsid w:val="006F369B"/>
    <w:rsid w:val="006F5E0D"/>
    <w:rsid w:val="006F6913"/>
    <w:rsid w:val="006F6A92"/>
    <w:rsid w:val="006F7361"/>
    <w:rsid w:val="006F7BDD"/>
    <w:rsid w:val="006F7CD4"/>
    <w:rsid w:val="00700318"/>
    <w:rsid w:val="0070059C"/>
    <w:rsid w:val="00700BDA"/>
    <w:rsid w:val="00701EC6"/>
    <w:rsid w:val="007036E4"/>
    <w:rsid w:val="00704F6B"/>
    <w:rsid w:val="007051C6"/>
    <w:rsid w:val="007059D2"/>
    <w:rsid w:val="00705F47"/>
    <w:rsid w:val="007067BD"/>
    <w:rsid w:val="00706CAF"/>
    <w:rsid w:val="00710D72"/>
    <w:rsid w:val="00712167"/>
    <w:rsid w:val="007125C7"/>
    <w:rsid w:val="007126E4"/>
    <w:rsid w:val="00712828"/>
    <w:rsid w:val="00712DF6"/>
    <w:rsid w:val="00714033"/>
    <w:rsid w:val="007158DB"/>
    <w:rsid w:val="0071714E"/>
    <w:rsid w:val="007213D4"/>
    <w:rsid w:val="00721D97"/>
    <w:rsid w:val="0072327D"/>
    <w:rsid w:val="007232BC"/>
    <w:rsid w:val="00723DBA"/>
    <w:rsid w:val="007240AF"/>
    <w:rsid w:val="00724319"/>
    <w:rsid w:val="007250B6"/>
    <w:rsid w:val="00725427"/>
    <w:rsid w:val="007264AD"/>
    <w:rsid w:val="00726882"/>
    <w:rsid w:val="00727775"/>
    <w:rsid w:val="00727A78"/>
    <w:rsid w:val="00727B5B"/>
    <w:rsid w:val="00730A4E"/>
    <w:rsid w:val="00730C39"/>
    <w:rsid w:val="00731113"/>
    <w:rsid w:val="00731A29"/>
    <w:rsid w:val="007320C7"/>
    <w:rsid w:val="00734BDC"/>
    <w:rsid w:val="00735A2F"/>
    <w:rsid w:val="00736E4C"/>
    <w:rsid w:val="00737E8B"/>
    <w:rsid w:val="007411F0"/>
    <w:rsid w:val="0074161E"/>
    <w:rsid w:val="00741ABD"/>
    <w:rsid w:val="007421DF"/>
    <w:rsid w:val="00742F68"/>
    <w:rsid w:val="00743141"/>
    <w:rsid w:val="0074398B"/>
    <w:rsid w:val="00744402"/>
    <w:rsid w:val="007448AE"/>
    <w:rsid w:val="00745AED"/>
    <w:rsid w:val="00745F78"/>
    <w:rsid w:val="0074673D"/>
    <w:rsid w:val="00746BA4"/>
    <w:rsid w:val="00746E83"/>
    <w:rsid w:val="00747307"/>
    <w:rsid w:val="00750510"/>
    <w:rsid w:val="00750A1E"/>
    <w:rsid w:val="00751364"/>
    <w:rsid w:val="007532EB"/>
    <w:rsid w:val="007545E1"/>
    <w:rsid w:val="0075490E"/>
    <w:rsid w:val="0075494A"/>
    <w:rsid w:val="007549AC"/>
    <w:rsid w:val="007549F5"/>
    <w:rsid w:val="00755A07"/>
    <w:rsid w:val="007569C5"/>
    <w:rsid w:val="00757503"/>
    <w:rsid w:val="00757860"/>
    <w:rsid w:val="007578CD"/>
    <w:rsid w:val="00761444"/>
    <w:rsid w:val="0076257F"/>
    <w:rsid w:val="00762EBE"/>
    <w:rsid w:val="00763FD2"/>
    <w:rsid w:val="007640F2"/>
    <w:rsid w:val="0076419A"/>
    <w:rsid w:val="00764A35"/>
    <w:rsid w:val="0076545F"/>
    <w:rsid w:val="00765FF0"/>
    <w:rsid w:val="00766116"/>
    <w:rsid w:val="00766AEA"/>
    <w:rsid w:val="00766C8F"/>
    <w:rsid w:val="007679CA"/>
    <w:rsid w:val="0077068F"/>
    <w:rsid w:val="00770883"/>
    <w:rsid w:val="007715C1"/>
    <w:rsid w:val="00771A67"/>
    <w:rsid w:val="007722F2"/>
    <w:rsid w:val="007724CD"/>
    <w:rsid w:val="00772DE6"/>
    <w:rsid w:val="0077312A"/>
    <w:rsid w:val="007736A7"/>
    <w:rsid w:val="00774971"/>
    <w:rsid w:val="00774C99"/>
    <w:rsid w:val="00775143"/>
    <w:rsid w:val="00776C0C"/>
    <w:rsid w:val="00777332"/>
    <w:rsid w:val="007801D1"/>
    <w:rsid w:val="00782CE0"/>
    <w:rsid w:val="00782FE5"/>
    <w:rsid w:val="00784044"/>
    <w:rsid w:val="00784A76"/>
    <w:rsid w:val="007865BD"/>
    <w:rsid w:val="007874EC"/>
    <w:rsid w:val="00787E4D"/>
    <w:rsid w:val="00787E70"/>
    <w:rsid w:val="00790067"/>
    <w:rsid w:val="00790E33"/>
    <w:rsid w:val="00792E3F"/>
    <w:rsid w:val="007941F1"/>
    <w:rsid w:val="00794272"/>
    <w:rsid w:val="0079524A"/>
    <w:rsid w:val="00795283"/>
    <w:rsid w:val="00796D29"/>
    <w:rsid w:val="0079715F"/>
    <w:rsid w:val="00797A21"/>
    <w:rsid w:val="007A1414"/>
    <w:rsid w:val="007A2B85"/>
    <w:rsid w:val="007A453B"/>
    <w:rsid w:val="007A4C37"/>
    <w:rsid w:val="007A530A"/>
    <w:rsid w:val="007A53C3"/>
    <w:rsid w:val="007A579C"/>
    <w:rsid w:val="007A7168"/>
    <w:rsid w:val="007B09DE"/>
    <w:rsid w:val="007B1300"/>
    <w:rsid w:val="007B1C1E"/>
    <w:rsid w:val="007B1C43"/>
    <w:rsid w:val="007B2BE8"/>
    <w:rsid w:val="007B38CB"/>
    <w:rsid w:val="007B38F5"/>
    <w:rsid w:val="007B3E19"/>
    <w:rsid w:val="007B4CE7"/>
    <w:rsid w:val="007B5649"/>
    <w:rsid w:val="007B6271"/>
    <w:rsid w:val="007B726E"/>
    <w:rsid w:val="007C149C"/>
    <w:rsid w:val="007C1854"/>
    <w:rsid w:val="007C2457"/>
    <w:rsid w:val="007C270A"/>
    <w:rsid w:val="007C2D90"/>
    <w:rsid w:val="007C31D3"/>
    <w:rsid w:val="007C3D29"/>
    <w:rsid w:val="007C4410"/>
    <w:rsid w:val="007C4C90"/>
    <w:rsid w:val="007C544F"/>
    <w:rsid w:val="007C71B2"/>
    <w:rsid w:val="007C7C12"/>
    <w:rsid w:val="007D0A8E"/>
    <w:rsid w:val="007D0A9B"/>
    <w:rsid w:val="007D12F8"/>
    <w:rsid w:val="007D3133"/>
    <w:rsid w:val="007D36FD"/>
    <w:rsid w:val="007D3AAB"/>
    <w:rsid w:val="007D4CDC"/>
    <w:rsid w:val="007D4E5F"/>
    <w:rsid w:val="007D5701"/>
    <w:rsid w:val="007D61EE"/>
    <w:rsid w:val="007D66EC"/>
    <w:rsid w:val="007D694B"/>
    <w:rsid w:val="007D6CB2"/>
    <w:rsid w:val="007D77EF"/>
    <w:rsid w:val="007E1562"/>
    <w:rsid w:val="007E16CD"/>
    <w:rsid w:val="007E33E0"/>
    <w:rsid w:val="007E36FC"/>
    <w:rsid w:val="007E4600"/>
    <w:rsid w:val="007E4E70"/>
    <w:rsid w:val="007E4F1C"/>
    <w:rsid w:val="007E5041"/>
    <w:rsid w:val="007E55D9"/>
    <w:rsid w:val="007E5F68"/>
    <w:rsid w:val="007E6054"/>
    <w:rsid w:val="007E62FB"/>
    <w:rsid w:val="007E7233"/>
    <w:rsid w:val="007E7C62"/>
    <w:rsid w:val="007E7F07"/>
    <w:rsid w:val="007F090A"/>
    <w:rsid w:val="007F0E11"/>
    <w:rsid w:val="007F17AE"/>
    <w:rsid w:val="007F2101"/>
    <w:rsid w:val="007F25DD"/>
    <w:rsid w:val="007F2B53"/>
    <w:rsid w:val="007F32B8"/>
    <w:rsid w:val="007F35EF"/>
    <w:rsid w:val="007F37E5"/>
    <w:rsid w:val="007F3941"/>
    <w:rsid w:val="007F3B86"/>
    <w:rsid w:val="007F3B96"/>
    <w:rsid w:val="007F3BFC"/>
    <w:rsid w:val="007F3CF4"/>
    <w:rsid w:val="007F3F05"/>
    <w:rsid w:val="007F548A"/>
    <w:rsid w:val="007F683F"/>
    <w:rsid w:val="007F6995"/>
    <w:rsid w:val="007F6B51"/>
    <w:rsid w:val="00801B04"/>
    <w:rsid w:val="00802096"/>
    <w:rsid w:val="008023AC"/>
    <w:rsid w:val="00804931"/>
    <w:rsid w:val="00805546"/>
    <w:rsid w:val="00805A4A"/>
    <w:rsid w:val="008064BD"/>
    <w:rsid w:val="008070C5"/>
    <w:rsid w:val="00807FD2"/>
    <w:rsid w:val="00810867"/>
    <w:rsid w:val="00810B5E"/>
    <w:rsid w:val="008122BA"/>
    <w:rsid w:val="00812512"/>
    <w:rsid w:val="00813B5F"/>
    <w:rsid w:val="008146B5"/>
    <w:rsid w:val="00814FB3"/>
    <w:rsid w:val="00815B99"/>
    <w:rsid w:val="00815BFD"/>
    <w:rsid w:val="00815E66"/>
    <w:rsid w:val="00820018"/>
    <w:rsid w:val="00820134"/>
    <w:rsid w:val="00820AD2"/>
    <w:rsid w:val="00821162"/>
    <w:rsid w:val="00821448"/>
    <w:rsid w:val="00821B39"/>
    <w:rsid w:val="008226FF"/>
    <w:rsid w:val="00823FFE"/>
    <w:rsid w:val="00824827"/>
    <w:rsid w:val="00825A10"/>
    <w:rsid w:val="00825CD7"/>
    <w:rsid w:val="00830B31"/>
    <w:rsid w:val="00830BCA"/>
    <w:rsid w:val="00832359"/>
    <w:rsid w:val="00832B57"/>
    <w:rsid w:val="00832C9A"/>
    <w:rsid w:val="00832FF1"/>
    <w:rsid w:val="00833527"/>
    <w:rsid w:val="00833A20"/>
    <w:rsid w:val="0083473E"/>
    <w:rsid w:val="00834A4B"/>
    <w:rsid w:val="008370C0"/>
    <w:rsid w:val="00840A9C"/>
    <w:rsid w:val="0084184C"/>
    <w:rsid w:val="008424A8"/>
    <w:rsid w:val="00844772"/>
    <w:rsid w:val="008449E6"/>
    <w:rsid w:val="00844DD4"/>
    <w:rsid w:val="00845B52"/>
    <w:rsid w:val="008465B0"/>
    <w:rsid w:val="008465CE"/>
    <w:rsid w:val="0084702D"/>
    <w:rsid w:val="00847980"/>
    <w:rsid w:val="00847E58"/>
    <w:rsid w:val="00851231"/>
    <w:rsid w:val="00851439"/>
    <w:rsid w:val="00851BA2"/>
    <w:rsid w:val="0085527F"/>
    <w:rsid w:val="00856167"/>
    <w:rsid w:val="0085639E"/>
    <w:rsid w:val="008602B5"/>
    <w:rsid w:val="00861533"/>
    <w:rsid w:val="00861874"/>
    <w:rsid w:val="00865FBF"/>
    <w:rsid w:val="008664D7"/>
    <w:rsid w:val="008671CA"/>
    <w:rsid w:val="00870F64"/>
    <w:rsid w:val="008711D0"/>
    <w:rsid w:val="00872471"/>
    <w:rsid w:val="0087295C"/>
    <w:rsid w:val="00872BE7"/>
    <w:rsid w:val="00875046"/>
    <w:rsid w:val="0087588E"/>
    <w:rsid w:val="00875DCA"/>
    <w:rsid w:val="00876087"/>
    <w:rsid w:val="008762B5"/>
    <w:rsid w:val="00876F8D"/>
    <w:rsid w:val="008773AE"/>
    <w:rsid w:val="00877AAA"/>
    <w:rsid w:val="00877D14"/>
    <w:rsid w:val="00877D93"/>
    <w:rsid w:val="00880418"/>
    <w:rsid w:val="00880DB1"/>
    <w:rsid w:val="00881982"/>
    <w:rsid w:val="008826A0"/>
    <w:rsid w:val="00882B12"/>
    <w:rsid w:val="00883543"/>
    <w:rsid w:val="008855BE"/>
    <w:rsid w:val="00887173"/>
    <w:rsid w:val="00887BD6"/>
    <w:rsid w:val="00890DF7"/>
    <w:rsid w:val="00891B23"/>
    <w:rsid w:val="00892CAE"/>
    <w:rsid w:val="008931AD"/>
    <w:rsid w:val="0089629C"/>
    <w:rsid w:val="00896537"/>
    <w:rsid w:val="00897242"/>
    <w:rsid w:val="00897F78"/>
    <w:rsid w:val="008A007E"/>
    <w:rsid w:val="008A08DC"/>
    <w:rsid w:val="008A10BF"/>
    <w:rsid w:val="008A15BC"/>
    <w:rsid w:val="008A163E"/>
    <w:rsid w:val="008A175A"/>
    <w:rsid w:val="008A1BD6"/>
    <w:rsid w:val="008A2117"/>
    <w:rsid w:val="008A2A11"/>
    <w:rsid w:val="008A2D81"/>
    <w:rsid w:val="008A50FE"/>
    <w:rsid w:val="008A513D"/>
    <w:rsid w:val="008A57E0"/>
    <w:rsid w:val="008A6929"/>
    <w:rsid w:val="008A74E8"/>
    <w:rsid w:val="008A7597"/>
    <w:rsid w:val="008A7BD2"/>
    <w:rsid w:val="008B0A3D"/>
    <w:rsid w:val="008B1133"/>
    <w:rsid w:val="008B14D1"/>
    <w:rsid w:val="008B14DC"/>
    <w:rsid w:val="008B2C90"/>
    <w:rsid w:val="008B3DA9"/>
    <w:rsid w:val="008B3FCF"/>
    <w:rsid w:val="008B4D05"/>
    <w:rsid w:val="008B57D0"/>
    <w:rsid w:val="008B5E48"/>
    <w:rsid w:val="008B6173"/>
    <w:rsid w:val="008B632E"/>
    <w:rsid w:val="008B6B84"/>
    <w:rsid w:val="008B719D"/>
    <w:rsid w:val="008C0034"/>
    <w:rsid w:val="008C053E"/>
    <w:rsid w:val="008C0E3F"/>
    <w:rsid w:val="008C1302"/>
    <w:rsid w:val="008C213B"/>
    <w:rsid w:val="008C25EF"/>
    <w:rsid w:val="008C27A4"/>
    <w:rsid w:val="008C2941"/>
    <w:rsid w:val="008C3A95"/>
    <w:rsid w:val="008C6A73"/>
    <w:rsid w:val="008C6E44"/>
    <w:rsid w:val="008C76C1"/>
    <w:rsid w:val="008C7E74"/>
    <w:rsid w:val="008D0F4F"/>
    <w:rsid w:val="008D19C2"/>
    <w:rsid w:val="008D2341"/>
    <w:rsid w:val="008D4004"/>
    <w:rsid w:val="008D4C46"/>
    <w:rsid w:val="008D522B"/>
    <w:rsid w:val="008D5368"/>
    <w:rsid w:val="008D54FA"/>
    <w:rsid w:val="008D6A5D"/>
    <w:rsid w:val="008D6C53"/>
    <w:rsid w:val="008D6D33"/>
    <w:rsid w:val="008D78AB"/>
    <w:rsid w:val="008E02B6"/>
    <w:rsid w:val="008E13C2"/>
    <w:rsid w:val="008E1526"/>
    <w:rsid w:val="008E1869"/>
    <w:rsid w:val="008E1ADD"/>
    <w:rsid w:val="008E215B"/>
    <w:rsid w:val="008E23F0"/>
    <w:rsid w:val="008E24CC"/>
    <w:rsid w:val="008E3455"/>
    <w:rsid w:val="008E3687"/>
    <w:rsid w:val="008E4388"/>
    <w:rsid w:val="008E43D0"/>
    <w:rsid w:val="008E452E"/>
    <w:rsid w:val="008E5556"/>
    <w:rsid w:val="008E60B3"/>
    <w:rsid w:val="008E66D1"/>
    <w:rsid w:val="008E6E68"/>
    <w:rsid w:val="008E6E6E"/>
    <w:rsid w:val="008E73C0"/>
    <w:rsid w:val="008E781D"/>
    <w:rsid w:val="008E7BD7"/>
    <w:rsid w:val="008F0002"/>
    <w:rsid w:val="008F1153"/>
    <w:rsid w:val="008F17EC"/>
    <w:rsid w:val="008F28FC"/>
    <w:rsid w:val="008F2D74"/>
    <w:rsid w:val="008F3B4D"/>
    <w:rsid w:val="008F3C01"/>
    <w:rsid w:val="008F4029"/>
    <w:rsid w:val="008F4658"/>
    <w:rsid w:val="008F4E75"/>
    <w:rsid w:val="008F514A"/>
    <w:rsid w:val="008F5A4B"/>
    <w:rsid w:val="008F5FB3"/>
    <w:rsid w:val="008F6D9A"/>
    <w:rsid w:val="008F7375"/>
    <w:rsid w:val="00900325"/>
    <w:rsid w:val="00900385"/>
    <w:rsid w:val="0090138D"/>
    <w:rsid w:val="00902DE6"/>
    <w:rsid w:val="009042EC"/>
    <w:rsid w:val="00904639"/>
    <w:rsid w:val="009079C5"/>
    <w:rsid w:val="00907F4F"/>
    <w:rsid w:val="009101DB"/>
    <w:rsid w:val="009108C8"/>
    <w:rsid w:val="00910A8A"/>
    <w:rsid w:val="00910BD4"/>
    <w:rsid w:val="0091107F"/>
    <w:rsid w:val="0091195A"/>
    <w:rsid w:val="00911A8F"/>
    <w:rsid w:val="00911C58"/>
    <w:rsid w:val="009122B3"/>
    <w:rsid w:val="00912391"/>
    <w:rsid w:val="00912863"/>
    <w:rsid w:val="00913C57"/>
    <w:rsid w:val="009148FA"/>
    <w:rsid w:val="00914E21"/>
    <w:rsid w:val="00916188"/>
    <w:rsid w:val="00916D00"/>
    <w:rsid w:val="00917B69"/>
    <w:rsid w:val="009207AE"/>
    <w:rsid w:val="00920ECB"/>
    <w:rsid w:val="00921F64"/>
    <w:rsid w:val="00922EDF"/>
    <w:rsid w:val="009233F6"/>
    <w:rsid w:val="009243E4"/>
    <w:rsid w:val="009251B9"/>
    <w:rsid w:val="00925D9A"/>
    <w:rsid w:val="009262CB"/>
    <w:rsid w:val="009268AD"/>
    <w:rsid w:val="00926D12"/>
    <w:rsid w:val="00930178"/>
    <w:rsid w:val="00930476"/>
    <w:rsid w:val="00931A24"/>
    <w:rsid w:val="00932279"/>
    <w:rsid w:val="00932F62"/>
    <w:rsid w:val="00933170"/>
    <w:rsid w:val="0093384B"/>
    <w:rsid w:val="00933AE8"/>
    <w:rsid w:val="00934119"/>
    <w:rsid w:val="00935F33"/>
    <w:rsid w:val="00937430"/>
    <w:rsid w:val="0093753E"/>
    <w:rsid w:val="00937940"/>
    <w:rsid w:val="009415D6"/>
    <w:rsid w:val="00942B0D"/>
    <w:rsid w:val="00943774"/>
    <w:rsid w:val="00943AC9"/>
    <w:rsid w:val="00944065"/>
    <w:rsid w:val="00944418"/>
    <w:rsid w:val="009444CC"/>
    <w:rsid w:val="00945C09"/>
    <w:rsid w:val="009460D8"/>
    <w:rsid w:val="009467DB"/>
    <w:rsid w:val="00947CFD"/>
    <w:rsid w:val="00950AD7"/>
    <w:rsid w:val="009513FE"/>
    <w:rsid w:val="0095193F"/>
    <w:rsid w:val="00952F5F"/>
    <w:rsid w:val="009530B5"/>
    <w:rsid w:val="00953475"/>
    <w:rsid w:val="009534A2"/>
    <w:rsid w:val="00953EA8"/>
    <w:rsid w:val="009548D9"/>
    <w:rsid w:val="00954CCF"/>
    <w:rsid w:val="00957070"/>
    <w:rsid w:val="00960593"/>
    <w:rsid w:val="00960F82"/>
    <w:rsid w:val="0096102F"/>
    <w:rsid w:val="00961632"/>
    <w:rsid w:val="009628B6"/>
    <w:rsid w:val="009628CC"/>
    <w:rsid w:val="00962DB8"/>
    <w:rsid w:val="00963023"/>
    <w:rsid w:val="009632D5"/>
    <w:rsid w:val="009634DD"/>
    <w:rsid w:val="0096371C"/>
    <w:rsid w:val="00964C84"/>
    <w:rsid w:val="00964C88"/>
    <w:rsid w:val="00967015"/>
    <w:rsid w:val="00970CEF"/>
    <w:rsid w:val="00972363"/>
    <w:rsid w:val="00972DC0"/>
    <w:rsid w:val="0097469C"/>
    <w:rsid w:val="00975A70"/>
    <w:rsid w:val="009760DD"/>
    <w:rsid w:val="00976D08"/>
    <w:rsid w:val="009774FB"/>
    <w:rsid w:val="00977AE9"/>
    <w:rsid w:val="00981896"/>
    <w:rsid w:val="00982095"/>
    <w:rsid w:val="009841E8"/>
    <w:rsid w:val="0098517A"/>
    <w:rsid w:val="00986137"/>
    <w:rsid w:val="009866DC"/>
    <w:rsid w:val="00986F2B"/>
    <w:rsid w:val="00990851"/>
    <w:rsid w:val="00990BC2"/>
    <w:rsid w:val="00992513"/>
    <w:rsid w:val="00993EFC"/>
    <w:rsid w:val="00994065"/>
    <w:rsid w:val="009944C7"/>
    <w:rsid w:val="00995110"/>
    <w:rsid w:val="00996277"/>
    <w:rsid w:val="00996DA2"/>
    <w:rsid w:val="00996E9D"/>
    <w:rsid w:val="0099796C"/>
    <w:rsid w:val="00997E41"/>
    <w:rsid w:val="009A0345"/>
    <w:rsid w:val="009A0785"/>
    <w:rsid w:val="009A34CD"/>
    <w:rsid w:val="009A5A3D"/>
    <w:rsid w:val="009A63EB"/>
    <w:rsid w:val="009A64E3"/>
    <w:rsid w:val="009A6CC2"/>
    <w:rsid w:val="009A7089"/>
    <w:rsid w:val="009A74BC"/>
    <w:rsid w:val="009A7B97"/>
    <w:rsid w:val="009B06BD"/>
    <w:rsid w:val="009B311D"/>
    <w:rsid w:val="009B3BB8"/>
    <w:rsid w:val="009B4C3F"/>
    <w:rsid w:val="009B5F4B"/>
    <w:rsid w:val="009B6EBB"/>
    <w:rsid w:val="009B7787"/>
    <w:rsid w:val="009B7D8F"/>
    <w:rsid w:val="009C10BF"/>
    <w:rsid w:val="009C1D8F"/>
    <w:rsid w:val="009C23E5"/>
    <w:rsid w:val="009C25FC"/>
    <w:rsid w:val="009C27E9"/>
    <w:rsid w:val="009C3E2A"/>
    <w:rsid w:val="009C462F"/>
    <w:rsid w:val="009C48C8"/>
    <w:rsid w:val="009C53A5"/>
    <w:rsid w:val="009C6645"/>
    <w:rsid w:val="009C70B4"/>
    <w:rsid w:val="009C798F"/>
    <w:rsid w:val="009D04C9"/>
    <w:rsid w:val="009D0710"/>
    <w:rsid w:val="009D0A5E"/>
    <w:rsid w:val="009D1142"/>
    <w:rsid w:val="009D1AB7"/>
    <w:rsid w:val="009D1B9D"/>
    <w:rsid w:val="009D3BB7"/>
    <w:rsid w:val="009D3D29"/>
    <w:rsid w:val="009D562C"/>
    <w:rsid w:val="009D5C09"/>
    <w:rsid w:val="009D7352"/>
    <w:rsid w:val="009D7DA6"/>
    <w:rsid w:val="009E0691"/>
    <w:rsid w:val="009E0B18"/>
    <w:rsid w:val="009E0B44"/>
    <w:rsid w:val="009E0E11"/>
    <w:rsid w:val="009E1A66"/>
    <w:rsid w:val="009E262C"/>
    <w:rsid w:val="009E2A50"/>
    <w:rsid w:val="009E44DB"/>
    <w:rsid w:val="009E46E2"/>
    <w:rsid w:val="009E4983"/>
    <w:rsid w:val="009E4BE0"/>
    <w:rsid w:val="009E4CEC"/>
    <w:rsid w:val="009E57BC"/>
    <w:rsid w:val="009E6587"/>
    <w:rsid w:val="009F067D"/>
    <w:rsid w:val="009F0961"/>
    <w:rsid w:val="009F1AF9"/>
    <w:rsid w:val="009F2EDA"/>
    <w:rsid w:val="009F3E95"/>
    <w:rsid w:val="009F42A8"/>
    <w:rsid w:val="009F4EE0"/>
    <w:rsid w:val="009F52F6"/>
    <w:rsid w:val="009F5559"/>
    <w:rsid w:val="009F5C3E"/>
    <w:rsid w:val="009F6AA0"/>
    <w:rsid w:val="009F6CDB"/>
    <w:rsid w:val="009F6FE5"/>
    <w:rsid w:val="009F7468"/>
    <w:rsid w:val="009F7934"/>
    <w:rsid w:val="009F7FD3"/>
    <w:rsid w:val="00A00824"/>
    <w:rsid w:val="00A00AF1"/>
    <w:rsid w:val="00A016C1"/>
    <w:rsid w:val="00A01ABD"/>
    <w:rsid w:val="00A0363A"/>
    <w:rsid w:val="00A040D5"/>
    <w:rsid w:val="00A046F3"/>
    <w:rsid w:val="00A04D95"/>
    <w:rsid w:val="00A04F09"/>
    <w:rsid w:val="00A05B7C"/>
    <w:rsid w:val="00A0638C"/>
    <w:rsid w:val="00A064A1"/>
    <w:rsid w:val="00A067CE"/>
    <w:rsid w:val="00A069F0"/>
    <w:rsid w:val="00A06E72"/>
    <w:rsid w:val="00A0746A"/>
    <w:rsid w:val="00A0793A"/>
    <w:rsid w:val="00A105F0"/>
    <w:rsid w:val="00A10CA6"/>
    <w:rsid w:val="00A10DFC"/>
    <w:rsid w:val="00A10E1F"/>
    <w:rsid w:val="00A11DA5"/>
    <w:rsid w:val="00A123B8"/>
    <w:rsid w:val="00A13F0A"/>
    <w:rsid w:val="00A142B2"/>
    <w:rsid w:val="00A14B0F"/>
    <w:rsid w:val="00A15B2A"/>
    <w:rsid w:val="00A16783"/>
    <w:rsid w:val="00A174F7"/>
    <w:rsid w:val="00A20423"/>
    <w:rsid w:val="00A21BE5"/>
    <w:rsid w:val="00A228AE"/>
    <w:rsid w:val="00A22B2E"/>
    <w:rsid w:val="00A22B4D"/>
    <w:rsid w:val="00A2353E"/>
    <w:rsid w:val="00A24646"/>
    <w:rsid w:val="00A24B8F"/>
    <w:rsid w:val="00A251CA"/>
    <w:rsid w:val="00A25A11"/>
    <w:rsid w:val="00A267AD"/>
    <w:rsid w:val="00A26AE2"/>
    <w:rsid w:val="00A2722B"/>
    <w:rsid w:val="00A318C7"/>
    <w:rsid w:val="00A31C9A"/>
    <w:rsid w:val="00A32FC5"/>
    <w:rsid w:val="00A33746"/>
    <w:rsid w:val="00A33E0A"/>
    <w:rsid w:val="00A33E21"/>
    <w:rsid w:val="00A34B97"/>
    <w:rsid w:val="00A35093"/>
    <w:rsid w:val="00A3564B"/>
    <w:rsid w:val="00A3570E"/>
    <w:rsid w:val="00A36561"/>
    <w:rsid w:val="00A365BC"/>
    <w:rsid w:val="00A36864"/>
    <w:rsid w:val="00A37D88"/>
    <w:rsid w:val="00A4056C"/>
    <w:rsid w:val="00A41B95"/>
    <w:rsid w:val="00A41FE8"/>
    <w:rsid w:val="00A42590"/>
    <w:rsid w:val="00A42790"/>
    <w:rsid w:val="00A43045"/>
    <w:rsid w:val="00A436B4"/>
    <w:rsid w:val="00A438C9"/>
    <w:rsid w:val="00A44AB4"/>
    <w:rsid w:val="00A45181"/>
    <w:rsid w:val="00A5078F"/>
    <w:rsid w:val="00A5095D"/>
    <w:rsid w:val="00A50B0C"/>
    <w:rsid w:val="00A5143A"/>
    <w:rsid w:val="00A536D8"/>
    <w:rsid w:val="00A53FB9"/>
    <w:rsid w:val="00A547F1"/>
    <w:rsid w:val="00A564E5"/>
    <w:rsid w:val="00A57377"/>
    <w:rsid w:val="00A573C9"/>
    <w:rsid w:val="00A611E3"/>
    <w:rsid w:val="00A6161F"/>
    <w:rsid w:val="00A61D1A"/>
    <w:rsid w:val="00A61DEB"/>
    <w:rsid w:val="00A62216"/>
    <w:rsid w:val="00A624D7"/>
    <w:rsid w:val="00A62998"/>
    <w:rsid w:val="00A62A1B"/>
    <w:rsid w:val="00A63940"/>
    <w:rsid w:val="00A6424D"/>
    <w:rsid w:val="00A6453C"/>
    <w:rsid w:val="00A64613"/>
    <w:rsid w:val="00A64AE3"/>
    <w:rsid w:val="00A64B45"/>
    <w:rsid w:val="00A657D2"/>
    <w:rsid w:val="00A65B4F"/>
    <w:rsid w:val="00A65F41"/>
    <w:rsid w:val="00A660B2"/>
    <w:rsid w:val="00A661FC"/>
    <w:rsid w:val="00A66798"/>
    <w:rsid w:val="00A673DB"/>
    <w:rsid w:val="00A674D1"/>
    <w:rsid w:val="00A7070F"/>
    <w:rsid w:val="00A70D3C"/>
    <w:rsid w:val="00A70F2F"/>
    <w:rsid w:val="00A71602"/>
    <w:rsid w:val="00A71818"/>
    <w:rsid w:val="00A72154"/>
    <w:rsid w:val="00A726EB"/>
    <w:rsid w:val="00A72C43"/>
    <w:rsid w:val="00A7389D"/>
    <w:rsid w:val="00A749D1"/>
    <w:rsid w:val="00A7540A"/>
    <w:rsid w:val="00A75467"/>
    <w:rsid w:val="00A755DC"/>
    <w:rsid w:val="00A75695"/>
    <w:rsid w:val="00A7597B"/>
    <w:rsid w:val="00A75ADF"/>
    <w:rsid w:val="00A75E1A"/>
    <w:rsid w:val="00A760E2"/>
    <w:rsid w:val="00A76630"/>
    <w:rsid w:val="00A76A92"/>
    <w:rsid w:val="00A76D51"/>
    <w:rsid w:val="00A77515"/>
    <w:rsid w:val="00A77F1F"/>
    <w:rsid w:val="00A80670"/>
    <w:rsid w:val="00A8080A"/>
    <w:rsid w:val="00A81676"/>
    <w:rsid w:val="00A827A0"/>
    <w:rsid w:val="00A83185"/>
    <w:rsid w:val="00A831B9"/>
    <w:rsid w:val="00A83287"/>
    <w:rsid w:val="00A837CC"/>
    <w:rsid w:val="00A8407F"/>
    <w:rsid w:val="00A84E44"/>
    <w:rsid w:val="00A8560C"/>
    <w:rsid w:val="00A8620A"/>
    <w:rsid w:val="00A86618"/>
    <w:rsid w:val="00A86EBC"/>
    <w:rsid w:val="00A8761C"/>
    <w:rsid w:val="00A90AAF"/>
    <w:rsid w:val="00A92A96"/>
    <w:rsid w:val="00A94003"/>
    <w:rsid w:val="00A94B33"/>
    <w:rsid w:val="00A94C2A"/>
    <w:rsid w:val="00A954CE"/>
    <w:rsid w:val="00A96608"/>
    <w:rsid w:val="00A973BB"/>
    <w:rsid w:val="00A97409"/>
    <w:rsid w:val="00A9770E"/>
    <w:rsid w:val="00AA1337"/>
    <w:rsid w:val="00AA1535"/>
    <w:rsid w:val="00AA17E6"/>
    <w:rsid w:val="00AA2106"/>
    <w:rsid w:val="00AA2F8D"/>
    <w:rsid w:val="00AA3BE0"/>
    <w:rsid w:val="00AA3D22"/>
    <w:rsid w:val="00AA5578"/>
    <w:rsid w:val="00AA600B"/>
    <w:rsid w:val="00AA6224"/>
    <w:rsid w:val="00AA6437"/>
    <w:rsid w:val="00AA6578"/>
    <w:rsid w:val="00AB063B"/>
    <w:rsid w:val="00AB0769"/>
    <w:rsid w:val="00AB0BE6"/>
    <w:rsid w:val="00AB0DC5"/>
    <w:rsid w:val="00AB0FFA"/>
    <w:rsid w:val="00AB1293"/>
    <w:rsid w:val="00AB28A0"/>
    <w:rsid w:val="00AB3C41"/>
    <w:rsid w:val="00AB3D2E"/>
    <w:rsid w:val="00AB3D76"/>
    <w:rsid w:val="00AB42EC"/>
    <w:rsid w:val="00AB4438"/>
    <w:rsid w:val="00AB46AC"/>
    <w:rsid w:val="00AB47AA"/>
    <w:rsid w:val="00AB49BC"/>
    <w:rsid w:val="00AB4B64"/>
    <w:rsid w:val="00AB4F19"/>
    <w:rsid w:val="00AB5DBA"/>
    <w:rsid w:val="00AB63E4"/>
    <w:rsid w:val="00AC0E00"/>
    <w:rsid w:val="00AC12FE"/>
    <w:rsid w:val="00AC1DF2"/>
    <w:rsid w:val="00AC3B2C"/>
    <w:rsid w:val="00AC3BB4"/>
    <w:rsid w:val="00AC433A"/>
    <w:rsid w:val="00AC50F9"/>
    <w:rsid w:val="00AC66BB"/>
    <w:rsid w:val="00AC6B09"/>
    <w:rsid w:val="00AD0E29"/>
    <w:rsid w:val="00AD1391"/>
    <w:rsid w:val="00AD14EB"/>
    <w:rsid w:val="00AD1ACF"/>
    <w:rsid w:val="00AD1C48"/>
    <w:rsid w:val="00AD2654"/>
    <w:rsid w:val="00AD2AF5"/>
    <w:rsid w:val="00AD2E39"/>
    <w:rsid w:val="00AD37A8"/>
    <w:rsid w:val="00AD3FD4"/>
    <w:rsid w:val="00AD5D6E"/>
    <w:rsid w:val="00AD5DAA"/>
    <w:rsid w:val="00AD712A"/>
    <w:rsid w:val="00AD76EA"/>
    <w:rsid w:val="00AD7859"/>
    <w:rsid w:val="00AD7D27"/>
    <w:rsid w:val="00AE078C"/>
    <w:rsid w:val="00AE0D52"/>
    <w:rsid w:val="00AE2AC6"/>
    <w:rsid w:val="00AE3BAC"/>
    <w:rsid w:val="00AE57BE"/>
    <w:rsid w:val="00AE6467"/>
    <w:rsid w:val="00AE652C"/>
    <w:rsid w:val="00AE6568"/>
    <w:rsid w:val="00AE728F"/>
    <w:rsid w:val="00AE7E26"/>
    <w:rsid w:val="00AF206C"/>
    <w:rsid w:val="00AF2203"/>
    <w:rsid w:val="00AF229B"/>
    <w:rsid w:val="00AF261E"/>
    <w:rsid w:val="00AF26A3"/>
    <w:rsid w:val="00AF33EB"/>
    <w:rsid w:val="00AF34ED"/>
    <w:rsid w:val="00AF4461"/>
    <w:rsid w:val="00AF4CC9"/>
    <w:rsid w:val="00AF520E"/>
    <w:rsid w:val="00AF608B"/>
    <w:rsid w:val="00AF73E1"/>
    <w:rsid w:val="00B00E7B"/>
    <w:rsid w:val="00B011BA"/>
    <w:rsid w:val="00B0584E"/>
    <w:rsid w:val="00B05F93"/>
    <w:rsid w:val="00B0661D"/>
    <w:rsid w:val="00B06A6F"/>
    <w:rsid w:val="00B06F96"/>
    <w:rsid w:val="00B1074D"/>
    <w:rsid w:val="00B116DE"/>
    <w:rsid w:val="00B118C4"/>
    <w:rsid w:val="00B12EBA"/>
    <w:rsid w:val="00B15D55"/>
    <w:rsid w:val="00B160FF"/>
    <w:rsid w:val="00B16155"/>
    <w:rsid w:val="00B1626A"/>
    <w:rsid w:val="00B162E6"/>
    <w:rsid w:val="00B17146"/>
    <w:rsid w:val="00B173B2"/>
    <w:rsid w:val="00B17A87"/>
    <w:rsid w:val="00B2070D"/>
    <w:rsid w:val="00B211BB"/>
    <w:rsid w:val="00B21701"/>
    <w:rsid w:val="00B2173E"/>
    <w:rsid w:val="00B21F8C"/>
    <w:rsid w:val="00B228F1"/>
    <w:rsid w:val="00B22A12"/>
    <w:rsid w:val="00B23CAB"/>
    <w:rsid w:val="00B23EF8"/>
    <w:rsid w:val="00B23FDE"/>
    <w:rsid w:val="00B2425C"/>
    <w:rsid w:val="00B24B12"/>
    <w:rsid w:val="00B24E7D"/>
    <w:rsid w:val="00B2620B"/>
    <w:rsid w:val="00B268B1"/>
    <w:rsid w:val="00B26C78"/>
    <w:rsid w:val="00B2746E"/>
    <w:rsid w:val="00B30238"/>
    <w:rsid w:val="00B30E07"/>
    <w:rsid w:val="00B315E2"/>
    <w:rsid w:val="00B31E42"/>
    <w:rsid w:val="00B326AA"/>
    <w:rsid w:val="00B32A7C"/>
    <w:rsid w:val="00B34523"/>
    <w:rsid w:val="00B35832"/>
    <w:rsid w:val="00B3599E"/>
    <w:rsid w:val="00B35EB1"/>
    <w:rsid w:val="00B37248"/>
    <w:rsid w:val="00B4030B"/>
    <w:rsid w:val="00B413EE"/>
    <w:rsid w:val="00B41E84"/>
    <w:rsid w:val="00B42DB0"/>
    <w:rsid w:val="00B439EE"/>
    <w:rsid w:val="00B44A2B"/>
    <w:rsid w:val="00B44B71"/>
    <w:rsid w:val="00B45518"/>
    <w:rsid w:val="00B45DB1"/>
    <w:rsid w:val="00B46699"/>
    <w:rsid w:val="00B46BA9"/>
    <w:rsid w:val="00B47BC7"/>
    <w:rsid w:val="00B50363"/>
    <w:rsid w:val="00B519CB"/>
    <w:rsid w:val="00B51B35"/>
    <w:rsid w:val="00B51FAB"/>
    <w:rsid w:val="00B52E2C"/>
    <w:rsid w:val="00B53111"/>
    <w:rsid w:val="00B547EA"/>
    <w:rsid w:val="00B54A2D"/>
    <w:rsid w:val="00B54CB9"/>
    <w:rsid w:val="00B565C2"/>
    <w:rsid w:val="00B572C8"/>
    <w:rsid w:val="00B5774D"/>
    <w:rsid w:val="00B60EE3"/>
    <w:rsid w:val="00B61935"/>
    <w:rsid w:val="00B62332"/>
    <w:rsid w:val="00B6258B"/>
    <w:rsid w:val="00B633AD"/>
    <w:rsid w:val="00B63B49"/>
    <w:rsid w:val="00B64643"/>
    <w:rsid w:val="00B64A0F"/>
    <w:rsid w:val="00B64B3C"/>
    <w:rsid w:val="00B657A1"/>
    <w:rsid w:val="00B6742A"/>
    <w:rsid w:val="00B700F6"/>
    <w:rsid w:val="00B710E6"/>
    <w:rsid w:val="00B716DD"/>
    <w:rsid w:val="00B71990"/>
    <w:rsid w:val="00B719FB"/>
    <w:rsid w:val="00B71A53"/>
    <w:rsid w:val="00B71D1A"/>
    <w:rsid w:val="00B73E03"/>
    <w:rsid w:val="00B754CE"/>
    <w:rsid w:val="00B76CD3"/>
    <w:rsid w:val="00B76E78"/>
    <w:rsid w:val="00B773D5"/>
    <w:rsid w:val="00B8062E"/>
    <w:rsid w:val="00B80922"/>
    <w:rsid w:val="00B80DD6"/>
    <w:rsid w:val="00B80E2A"/>
    <w:rsid w:val="00B81022"/>
    <w:rsid w:val="00B81D39"/>
    <w:rsid w:val="00B81E93"/>
    <w:rsid w:val="00B81F30"/>
    <w:rsid w:val="00B85738"/>
    <w:rsid w:val="00B85A43"/>
    <w:rsid w:val="00B868C7"/>
    <w:rsid w:val="00B86A75"/>
    <w:rsid w:val="00B87461"/>
    <w:rsid w:val="00B90AF4"/>
    <w:rsid w:val="00B9112D"/>
    <w:rsid w:val="00B91AC3"/>
    <w:rsid w:val="00B928C7"/>
    <w:rsid w:val="00B92B53"/>
    <w:rsid w:val="00B92EC1"/>
    <w:rsid w:val="00B92FA3"/>
    <w:rsid w:val="00B93052"/>
    <w:rsid w:val="00B931C5"/>
    <w:rsid w:val="00B93662"/>
    <w:rsid w:val="00B95D0B"/>
    <w:rsid w:val="00B9611C"/>
    <w:rsid w:val="00B96D1C"/>
    <w:rsid w:val="00B9714F"/>
    <w:rsid w:val="00B97E47"/>
    <w:rsid w:val="00BA016B"/>
    <w:rsid w:val="00BA0828"/>
    <w:rsid w:val="00BA0B2F"/>
    <w:rsid w:val="00BA29B5"/>
    <w:rsid w:val="00BA2B5C"/>
    <w:rsid w:val="00BA354E"/>
    <w:rsid w:val="00BA378A"/>
    <w:rsid w:val="00BA463A"/>
    <w:rsid w:val="00BA65D1"/>
    <w:rsid w:val="00BA71F7"/>
    <w:rsid w:val="00BA7529"/>
    <w:rsid w:val="00BB0527"/>
    <w:rsid w:val="00BB0CE0"/>
    <w:rsid w:val="00BB1BF1"/>
    <w:rsid w:val="00BB3756"/>
    <w:rsid w:val="00BB3B0B"/>
    <w:rsid w:val="00BB4071"/>
    <w:rsid w:val="00BB6C06"/>
    <w:rsid w:val="00BB6FD7"/>
    <w:rsid w:val="00BB7BE3"/>
    <w:rsid w:val="00BC00A1"/>
    <w:rsid w:val="00BC0955"/>
    <w:rsid w:val="00BC0977"/>
    <w:rsid w:val="00BC0DED"/>
    <w:rsid w:val="00BC0FD1"/>
    <w:rsid w:val="00BC1706"/>
    <w:rsid w:val="00BC2888"/>
    <w:rsid w:val="00BC2B56"/>
    <w:rsid w:val="00BC2FCA"/>
    <w:rsid w:val="00BC388E"/>
    <w:rsid w:val="00BC3E27"/>
    <w:rsid w:val="00BC40EE"/>
    <w:rsid w:val="00BC45A4"/>
    <w:rsid w:val="00BC4F22"/>
    <w:rsid w:val="00BC5E46"/>
    <w:rsid w:val="00BC65CD"/>
    <w:rsid w:val="00BC6B48"/>
    <w:rsid w:val="00BD06D7"/>
    <w:rsid w:val="00BD1C3D"/>
    <w:rsid w:val="00BD1ECE"/>
    <w:rsid w:val="00BD35D6"/>
    <w:rsid w:val="00BD47DC"/>
    <w:rsid w:val="00BD5430"/>
    <w:rsid w:val="00BD6A55"/>
    <w:rsid w:val="00BD74C4"/>
    <w:rsid w:val="00BD763D"/>
    <w:rsid w:val="00BE03CD"/>
    <w:rsid w:val="00BE073F"/>
    <w:rsid w:val="00BE0F7D"/>
    <w:rsid w:val="00BE1D35"/>
    <w:rsid w:val="00BE2264"/>
    <w:rsid w:val="00BE2339"/>
    <w:rsid w:val="00BE2B31"/>
    <w:rsid w:val="00BE385C"/>
    <w:rsid w:val="00BE39EF"/>
    <w:rsid w:val="00BE4B1E"/>
    <w:rsid w:val="00BE5C22"/>
    <w:rsid w:val="00BF06B3"/>
    <w:rsid w:val="00BF0E3C"/>
    <w:rsid w:val="00BF0F2A"/>
    <w:rsid w:val="00BF13F0"/>
    <w:rsid w:val="00BF1B4C"/>
    <w:rsid w:val="00BF2587"/>
    <w:rsid w:val="00BF26F4"/>
    <w:rsid w:val="00BF31F6"/>
    <w:rsid w:val="00BF3319"/>
    <w:rsid w:val="00BF34DB"/>
    <w:rsid w:val="00BF6C4A"/>
    <w:rsid w:val="00BF6D96"/>
    <w:rsid w:val="00BF73EF"/>
    <w:rsid w:val="00BF7BCD"/>
    <w:rsid w:val="00BF7E5A"/>
    <w:rsid w:val="00C00B60"/>
    <w:rsid w:val="00C00E03"/>
    <w:rsid w:val="00C024AD"/>
    <w:rsid w:val="00C034D3"/>
    <w:rsid w:val="00C04A0F"/>
    <w:rsid w:val="00C0691D"/>
    <w:rsid w:val="00C0749A"/>
    <w:rsid w:val="00C07701"/>
    <w:rsid w:val="00C108B4"/>
    <w:rsid w:val="00C1228B"/>
    <w:rsid w:val="00C12BD8"/>
    <w:rsid w:val="00C13988"/>
    <w:rsid w:val="00C141FE"/>
    <w:rsid w:val="00C17189"/>
    <w:rsid w:val="00C20E7F"/>
    <w:rsid w:val="00C21F26"/>
    <w:rsid w:val="00C241BE"/>
    <w:rsid w:val="00C24EE4"/>
    <w:rsid w:val="00C2519C"/>
    <w:rsid w:val="00C26843"/>
    <w:rsid w:val="00C26A22"/>
    <w:rsid w:val="00C26D6C"/>
    <w:rsid w:val="00C27069"/>
    <w:rsid w:val="00C27248"/>
    <w:rsid w:val="00C301FB"/>
    <w:rsid w:val="00C306FF"/>
    <w:rsid w:val="00C30AFD"/>
    <w:rsid w:val="00C30C7F"/>
    <w:rsid w:val="00C31574"/>
    <w:rsid w:val="00C321DA"/>
    <w:rsid w:val="00C32C8C"/>
    <w:rsid w:val="00C346EC"/>
    <w:rsid w:val="00C35E5E"/>
    <w:rsid w:val="00C360E5"/>
    <w:rsid w:val="00C36E08"/>
    <w:rsid w:val="00C37120"/>
    <w:rsid w:val="00C40CCF"/>
    <w:rsid w:val="00C414BE"/>
    <w:rsid w:val="00C41BA6"/>
    <w:rsid w:val="00C41D78"/>
    <w:rsid w:val="00C43D67"/>
    <w:rsid w:val="00C44127"/>
    <w:rsid w:val="00C441A4"/>
    <w:rsid w:val="00C45D73"/>
    <w:rsid w:val="00C46458"/>
    <w:rsid w:val="00C46C39"/>
    <w:rsid w:val="00C47068"/>
    <w:rsid w:val="00C50E34"/>
    <w:rsid w:val="00C51F9B"/>
    <w:rsid w:val="00C5248F"/>
    <w:rsid w:val="00C525DE"/>
    <w:rsid w:val="00C52A41"/>
    <w:rsid w:val="00C544ED"/>
    <w:rsid w:val="00C559FC"/>
    <w:rsid w:val="00C55BAE"/>
    <w:rsid w:val="00C55E52"/>
    <w:rsid w:val="00C56320"/>
    <w:rsid w:val="00C601EA"/>
    <w:rsid w:val="00C61381"/>
    <w:rsid w:val="00C61B7D"/>
    <w:rsid w:val="00C61E5B"/>
    <w:rsid w:val="00C62212"/>
    <w:rsid w:val="00C6227C"/>
    <w:rsid w:val="00C62857"/>
    <w:rsid w:val="00C62EAD"/>
    <w:rsid w:val="00C634D3"/>
    <w:rsid w:val="00C63665"/>
    <w:rsid w:val="00C64EE0"/>
    <w:rsid w:val="00C659DF"/>
    <w:rsid w:val="00C66304"/>
    <w:rsid w:val="00C673F2"/>
    <w:rsid w:val="00C700C1"/>
    <w:rsid w:val="00C70374"/>
    <w:rsid w:val="00C7100F"/>
    <w:rsid w:val="00C7191C"/>
    <w:rsid w:val="00C72126"/>
    <w:rsid w:val="00C741EE"/>
    <w:rsid w:val="00C7498C"/>
    <w:rsid w:val="00C74F03"/>
    <w:rsid w:val="00C761BE"/>
    <w:rsid w:val="00C7620E"/>
    <w:rsid w:val="00C762C3"/>
    <w:rsid w:val="00C76AE7"/>
    <w:rsid w:val="00C771FD"/>
    <w:rsid w:val="00C776FE"/>
    <w:rsid w:val="00C77962"/>
    <w:rsid w:val="00C77E39"/>
    <w:rsid w:val="00C8038E"/>
    <w:rsid w:val="00C81E73"/>
    <w:rsid w:val="00C824B2"/>
    <w:rsid w:val="00C83991"/>
    <w:rsid w:val="00C84BD8"/>
    <w:rsid w:val="00C85EEC"/>
    <w:rsid w:val="00C85F5C"/>
    <w:rsid w:val="00C86E1C"/>
    <w:rsid w:val="00C86F40"/>
    <w:rsid w:val="00C8710B"/>
    <w:rsid w:val="00C87C9F"/>
    <w:rsid w:val="00C9044D"/>
    <w:rsid w:val="00C90C40"/>
    <w:rsid w:val="00C90DF3"/>
    <w:rsid w:val="00C9289B"/>
    <w:rsid w:val="00C92BAD"/>
    <w:rsid w:val="00C92CBF"/>
    <w:rsid w:val="00C93169"/>
    <w:rsid w:val="00C9338F"/>
    <w:rsid w:val="00C934A4"/>
    <w:rsid w:val="00C93A4C"/>
    <w:rsid w:val="00C93FFC"/>
    <w:rsid w:val="00C95500"/>
    <w:rsid w:val="00C95680"/>
    <w:rsid w:val="00C97878"/>
    <w:rsid w:val="00C97D89"/>
    <w:rsid w:val="00C97F14"/>
    <w:rsid w:val="00CA03F7"/>
    <w:rsid w:val="00CA0EF4"/>
    <w:rsid w:val="00CA24A9"/>
    <w:rsid w:val="00CA26A9"/>
    <w:rsid w:val="00CA2872"/>
    <w:rsid w:val="00CA2AFD"/>
    <w:rsid w:val="00CA2C44"/>
    <w:rsid w:val="00CA3281"/>
    <w:rsid w:val="00CA3695"/>
    <w:rsid w:val="00CA3805"/>
    <w:rsid w:val="00CA4372"/>
    <w:rsid w:val="00CA44DF"/>
    <w:rsid w:val="00CA5007"/>
    <w:rsid w:val="00CA50C7"/>
    <w:rsid w:val="00CA572B"/>
    <w:rsid w:val="00CA5FCE"/>
    <w:rsid w:val="00CA6CFD"/>
    <w:rsid w:val="00CA6E2E"/>
    <w:rsid w:val="00CA7163"/>
    <w:rsid w:val="00CA7968"/>
    <w:rsid w:val="00CB083F"/>
    <w:rsid w:val="00CB08EE"/>
    <w:rsid w:val="00CB144D"/>
    <w:rsid w:val="00CB255B"/>
    <w:rsid w:val="00CB33DF"/>
    <w:rsid w:val="00CB6181"/>
    <w:rsid w:val="00CB6E29"/>
    <w:rsid w:val="00CB73EB"/>
    <w:rsid w:val="00CB7557"/>
    <w:rsid w:val="00CB79BA"/>
    <w:rsid w:val="00CC126F"/>
    <w:rsid w:val="00CC19DF"/>
    <w:rsid w:val="00CC1EBD"/>
    <w:rsid w:val="00CC280A"/>
    <w:rsid w:val="00CC2C48"/>
    <w:rsid w:val="00CC395F"/>
    <w:rsid w:val="00CC3F0D"/>
    <w:rsid w:val="00CC506A"/>
    <w:rsid w:val="00CC5100"/>
    <w:rsid w:val="00CC6577"/>
    <w:rsid w:val="00CD0923"/>
    <w:rsid w:val="00CD2365"/>
    <w:rsid w:val="00CD29A7"/>
    <w:rsid w:val="00CD3B29"/>
    <w:rsid w:val="00CD3EF8"/>
    <w:rsid w:val="00CD42CD"/>
    <w:rsid w:val="00CD44EA"/>
    <w:rsid w:val="00CD525C"/>
    <w:rsid w:val="00CD533A"/>
    <w:rsid w:val="00CD5D83"/>
    <w:rsid w:val="00CD61E1"/>
    <w:rsid w:val="00CD6BB2"/>
    <w:rsid w:val="00CD7D35"/>
    <w:rsid w:val="00CD7ECB"/>
    <w:rsid w:val="00CE0C94"/>
    <w:rsid w:val="00CE1211"/>
    <w:rsid w:val="00CE17A1"/>
    <w:rsid w:val="00CE1BE5"/>
    <w:rsid w:val="00CE1C06"/>
    <w:rsid w:val="00CE5F0A"/>
    <w:rsid w:val="00CE6F79"/>
    <w:rsid w:val="00CE7084"/>
    <w:rsid w:val="00CE75ED"/>
    <w:rsid w:val="00CE7739"/>
    <w:rsid w:val="00CE7924"/>
    <w:rsid w:val="00CF1C65"/>
    <w:rsid w:val="00CF1D68"/>
    <w:rsid w:val="00CF23A5"/>
    <w:rsid w:val="00CF2526"/>
    <w:rsid w:val="00CF288E"/>
    <w:rsid w:val="00CF34AA"/>
    <w:rsid w:val="00CF698F"/>
    <w:rsid w:val="00CF6A14"/>
    <w:rsid w:val="00CF6B33"/>
    <w:rsid w:val="00CF7051"/>
    <w:rsid w:val="00CF7127"/>
    <w:rsid w:val="00CF7B7F"/>
    <w:rsid w:val="00D013A8"/>
    <w:rsid w:val="00D016AF"/>
    <w:rsid w:val="00D01CD2"/>
    <w:rsid w:val="00D028D0"/>
    <w:rsid w:val="00D0370A"/>
    <w:rsid w:val="00D0451B"/>
    <w:rsid w:val="00D045E4"/>
    <w:rsid w:val="00D0487B"/>
    <w:rsid w:val="00D05739"/>
    <w:rsid w:val="00D061B3"/>
    <w:rsid w:val="00D071AB"/>
    <w:rsid w:val="00D075CC"/>
    <w:rsid w:val="00D07BF4"/>
    <w:rsid w:val="00D07DDD"/>
    <w:rsid w:val="00D1100B"/>
    <w:rsid w:val="00D113B4"/>
    <w:rsid w:val="00D11E2A"/>
    <w:rsid w:val="00D1244B"/>
    <w:rsid w:val="00D129B2"/>
    <w:rsid w:val="00D14C72"/>
    <w:rsid w:val="00D1659A"/>
    <w:rsid w:val="00D16CDF"/>
    <w:rsid w:val="00D16CF2"/>
    <w:rsid w:val="00D17252"/>
    <w:rsid w:val="00D17849"/>
    <w:rsid w:val="00D20C2D"/>
    <w:rsid w:val="00D20E8C"/>
    <w:rsid w:val="00D21065"/>
    <w:rsid w:val="00D210F4"/>
    <w:rsid w:val="00D21372"/>
    <w:rsid w:val="00D21D21"/>
    <w:rsid w:val="00D21D6A"/>
    <w:rsid w:val="00D22D1C"/>
    <w:rsid w:val="00D22E1E"/>
    <w:rsid w:val="00D23315"/>
    <w:rsid w:val="00D23568"/>
    <w:rsid w:val="00D235D4"/>
    <w:rsid w:val="00D2483D"/>
    <w:rsid w:val="00D24E24"/>
    <w:rsid w:val="00D253D1"/>
    <w:rsid w:val="00D259B8"/>
    <w:rsid w:val="00D265E7"/>
    <w:rsid w:val="00D2750F"/>
    <w:rsid w:val="00D3032F"/>
    <w:rsid w:val="00D324E6"/>
    <w:rsid w:val="00D32CBE"/>
    <w:rsid w:val="00D345EC"/>
    <w:rsid w:val="00D35DB0"/>
    <w:rsid w:val="00D35E44"/>
    <w:rsid w:val="00D36877"/>
    <w:rsid w:val="00D4088F"/>
    <w:rsid w:val="00D417C9"/>
    <w:rsid w:val="00D41BDE"/>
    <w:rsid w:val="00D420D6"/>
    <w:rsid w:val="00D4274D"/>
    <w:rsid w:val="00D45018"/>
    <w:rsid w:val="00D452EF"/>
    <w:rsid w:val="00D45732"/>
    <w:rsid w:val="00D464FE"/>
    <w:rsid w:val="00D474F7"/>
    <w:rsid w:val="00D4763E"/>
    <w:rsid w:val="00D478F7"/>
    <w:rsid w:val="00D47EAE"/>
    <w:rsid w:val="00D47FF4"/>
    <w:rsid w:val="00D514A1"/>
    <w:rsid w:val="00D51757"/>
    <w:rsid w:val="00D52387"/>
    <w:rsid w:val="00D53CF2"/>
    <w:rsid w:val="00D5482A"/>
    <w:rsid w:val="00D54AE0"/>
    <w:rsid w:val="00D5575F"/>
    <w:rsid w:val="00D562B4"/>
    <w:rsid w:val="00D5648A"/>
    <w:rsid w:val="00D606DE"/>
    <w:rsid w:val="00D62654"/>
    <w:rsid w:val="00D62DAB"/>
    <w:rsid w:val="00D637AD"/>
    <w:rsid w:val="00D6452B"/>
    <w:rsid w:val="00D653F8"/>
    <w:rsid w:val="00D66C78"/>
    <w:rsid w:val="00D67392"/>
    <w:rsid w:val="00D67E28"/>
    <w:rsid w:val="00D70307"/>
    <w:rsid w:val="00D703AE"/>
    <w:rsid w:val="00D70BC9"/>
    <w:rsid w:val="00D7108D"/>
    <w:rsid w:val="00D7186D"/>
    <w:rsid w:val="00D71DE8"/>
    <w:rsid w:val="00D72168"/>
    <w:rsid w:val="00D73885"/>
    <w:rsid w:val="00D73D83"/>
    <w:rsid w:val="00D749D1"/>
    <w:rsid w:val="00D7566F"/>
    <w:rsid w:val="00D75A0F"/>
    <w:rsid w:val="00D77F49"/>
    <w:rsid w:val="00D82004"/>
    <w:rsid w:val="00D8365C"/>
    <w:rsid w:val="00D84B40"/>
    <w:rsid w:val="00D8643F"/>
    <w:rsid w:val="00D87248"/>
    <w:rsid w:val="00D8725C"/>
    <w:rsid w:val="00D87BFA"/>
    <w:rsid w:val="00D903FE"/>
    <w:rsid w:val="00D90658"/>
    <w:rsid w:val="00D90B56"/>
    <w:rsid w:val="00D90D28"/>
    <w:rsid w:val="00D9100B"/>
    <w:rsid w:val="00D916C6"/>
    <w:rsid w:val="00D92B02"/>
    <w:rsid w:val="00D93888"/>
    <w:rsid w:val="00D93ADC"/>
    <w:rsid w:val="00D946B4"/>
    <w:rsid w:val="00D94DA0"/>
    <w:rsid w:val="00D94FD1"/>
    <w:rsid w:val="00D958FF"/>
    <w:rsid w:val="00D9591F"/>
    <w:rsid w:val="00D9629F"/>
    <w:rsid w:val="00D97765"/>
    <w:rsid w:val="00DA1B93"/>
    <w:rsid w:val="00DA3705"/>
    <w:rsid w:val="00DA3E35"/>
    <w:rsid w:val="00DA4F63"/>
    <w:rsid w:val="00DA6287"/>
    <w:rsid w:val="00DA68BC"/>
    <w:rsid w:val="00DA6A72"/>
    <w:rsid w:val="00DA6FA8"/>
    <w:rsid w:val="00DA7236"/>
    <w:rsid w:val="00DB0323"/>
    <w:rsid w:val="00DB03EE"/>
    <w:rsid w:val="00DB060E"/>
    <w:rsid w:val="00DB0E0E"/>
    <w:rsid w:val="00DB0E22"/>
    <w:rsid w:val="00DB10B5"/>
    <w:rsid w:val="00DB1334"/>
    <w:rsid w:val="00DB158D"/>
    <w:rsid w:val="00DB2064"/>
    <w:rsid w:val="00DB232B"/>
    <w:rsid w:val="00DB2774"/>
    <w:rsid w:val="00DB2866"/>
    <w:rsid w:val="00DB3B70"/>
    <w:rsid w:val="00DB4995"/>
    <w:rsid w:val="00DB5C8A"/>
    <w:rsid w:val="00DB6AA1"/>
    <w:rsid w:val="00DB6DC8"/>
    <w:rsid w:val="00DC06B4"/>
    <w:rsid w:val="00DC089B"/>
    <w:rsid w:val="00DC0AA5"/>
    <w:rsid w:val="00DC3626"/>
    <w:rsid w:val="00DC40CA"/>
    <w:rsid w:val="00DC4A14"/>
    <w:rsid w:val="00DC4C84"/>
    <w:rsid w:val="00DC4E3A"/>
    <w:rsid w:val="00DC565C"/>
    <w:rsid w:val="00DC60B5"/>
    <w:rsid w:val="00DC68BF"/>
    <w:rsid w:val="00DC77D1"/>
    <w:rsid w:val="00DD0784"/>
    <w:rsid w:val="00DD1CE3"/>
    <w:rsid w:val="00DD1F30"/>
    <w:rsid w:val="00DD344D"/>
    <w:rsid w:val="00DD43D8"/>
    <w:rsid w:val="00DD4A6E"/>
    <w:rsid w:val="00DD7858"/>
    <w:rsid w:val="00DD7D14"/>
    <w:rsid w:val="00DE1C47"/>
    <w:rsid w:val="00DE27F1"/>
    <w:rsid w:val="00DE2A2E"/>
    <w:rsid w:val="00DE307B"/>
    <w:rsid w:val="00DE3A3E"/>
    <w:rsid w:val="00DE4736"/>
    <w:rsid w:val="00DE4B3F"/>
    <w:rsid w:val="00DE4B54"/>
    <w:rsid w:val="00DE5B5A"/>
    <w:rsid w:val="00DE74A4"/>
    <w:rsid w:val="00DF019F"/>
    <w:rsid w:val="00DF06DB"/>
    <w:rsid w:val="00DF1BDE"/>
    <w:rsid w:val="00DF28E2"/>
    <w:rsid w:val="00DF2B46"/>
    <w:rsid w:val="00DF2E67"/>
    <w:rsid w:val="00DF320D"/>
    <w:rsid w:val="00DF3444"/>
    <w:rsid w:val="00DF587C"/>
    <w:rsid w:val="00DF5BF8"/>
    <w:rsid w:val="00DF622A"/>
    <w:rsid w:val="00DF6A73"/>
    <w:rsid w:val="00DF6C56"/>
    <w:rsid w:val="00DF7182"/>
    <w:rsid w:val="00DF7720"/>
    <w:rsid w:val="00DF7D4C"/>
    <w:rsid w:val="00E008F6"/>
    <w:rsid w:val="00E010D1"/>
    <w:rsid w:val="00E02938"/>
    <w:rsid w:val="00E04F31"/>
    <w:rsid w:val="00E10F8A"/>
    <w:rsid w:val="00E1188E"/>
    <w:rsid w:val="00E11B6C"/>
    <w:rsid w:val="00E1200E"/>
    <w:rsid w:val="00E12B5C"/>
    <w:rsid w:val="00E1422A"/>
    <w:rsid w:val="00E1424F"/>
    <w:rsid w:val="00E14B9F"/>
    <w:rsid w:val="00E14FAA"/>
    <w:rsid w:val="00E150D7"/>
    <w:rsid w:val="00E16329"/>
    <w:rsid w:val="00E16808"/>
    <w:rsid w:val="00E16FBE"/>
    <w:rsid w:val="00E16FDF"/>
    <w:rsid w:val="00E1717D"/>
    <w:rsid w:val="00E17B91"/>
    <w:rsid w:val="00E20E47"/>
    <w:rsid w:val="00E226FE"/>
    <w:rsid w:val="00E22C2A"/>
    <w:rsid w:val="00E233B5"/>
    <w:rsid w:val="00E2346C"/>
    <w:rsid w:val="00E24BF4"/>
    <w:rsid w:val="00E26601"/>
    <w:rsid w:val="00E2678B"/>
    <w:rsid w:val="00E272DF"/>
    <w:rsid w:val="00E276BC"/>
    <w:rsid w:val="00E27BF1"/>
    <w:rsid w:val="00E3225B"/>
    <w:rsid w:val="00E333A1"/>
    <w:rsid w:val="00E33ED6"/>
    <w:rsid w:val="00E34EB5"/>
    <w:rsid w:val="00E34ED0"/>
    <w:rsid w:val="00E357F7"/>
    <w:rsid w:val="00E35A6E"/>
    <w:rsid w:val="00E41520"/>
    <w:rsid w:val="00E41DEF"/>
    <w:rsid w:val="00E421CD"/>
    <w:rsid w:val="00E4255E"/>
    <w:rsid w:val="00E4264A"/>
    <w:rsid w:val="00E42B67"/>
    <w:rsid w:val="00E42C06"/>
    <w:rsid w:val="00E43CD4"/>
    <w:rsid w:val="00E44C6B"/>
    <w:rsid w:val="00E45190"/>
    <w:rsid w:val="00E45664"/>
    <w:rsid w:val="00E470C8"/>
    <w:rsid w:val="00E50464"/>
    <w:rsid w:val="00E504EF"/>
    <w:rsid w:val="00E51FD7"/>
    <w:rsid w:val="00E52477"/>
    <w:rsid w:val="00E538EB"/>
    <w:rsid w:val="00E5517E"/>
    <w:rsid w:val="00E5568F"/>
    <w:rsid w:val="00E56269"/>
    <w:rsid w:val="00E57C18"/>
    <w:rsid w:val="00E600F5"/>
    <w:rsid w:val="00E603F7"/>
    <w:rsid w:val="00E62CDB"/>
    <w:rsid w:val="00E62FAB"/>
    <w:rsid w:val="00E63247"/>
    <w:rsid w:val="00E64BDD"/>
    <w:rsid w:val="00E64CB8"/>
    <w:rsid w:val="00E64F4F"/>
    <w:rsid w:val="00E663B1"/>
    <w:rsid w:val="00E665B0"/>
    <w:rsid w:val="00E665B1"/>
    <w:rsid w:val="00E6692C"/>
    <w:rsid w:val="00E67558"/>
    <w:rsid w:val="00E71E0F"/>
    <w:rsid w:val="00E72BAA"/>
    <w:rsid w:val="00E73D92"/>
    <w:rsid w:val="00E73FE0"/>
    <w:rsid w:val="00E74230"/>
    <w:rsid w:val="00E7442A"/>
    <w:rsid w:val="00E74688"/>
    <w:rsid w:val="00E75A45"/>
    <w:rsid w:val="00E75A64"/>
    <w:rsid w:val="00E75DBE"/>
    <w:rsid w:val="00E75DD1"/>
    <w:rsid w:val="00E760A2"/>
    <w:rsid w:val="00E772EB"/>
    <w:rsid w:val="00E7743C"/>
    <w:rsid w:val="00E777F4"/>
    <w:rsid w:val="00E777F8"/>
    <w:rsid w:val="00E80B11"/>
    <w:rsid w:val="00E811C6"/>
    <w:rsid w:val="00E81629"/>
    <w:rsid w:val="00E81CA3"/>
    <w:rsid w:val="00E82378"/>
    <w:rsid w:val="00E82C6D"/>
    <w:rsid w:val="00E82E7F"/>
    <w:rsid w:val="00E848B9"/>
    <w:rsid w:val="00E84E7A"/>
    <w:rsid w:val="00E8580E"/>
    <w:rsid w:val="00E8648D"/>
    <w:rsid w:val="00E86867"/>
    <w:rsid w:val="00E86D46"/>
    <w:rsid w:val="00E877B6"/>
    <w:rsid w:val="00E91867"/>
    <w:rsid w:val="00E92215"/>
    <w:rsid w:val="00E922A2"/>
    <w:rsid w:val="00E942EE"/>
    <w:rsid w:val="00E95383"/>
    <w:rsid w:val="00E95E9A"/>
    <w:rsid w:val="00E96BAB"/>
    <w:rsid w:val="00E9786B"/>
    <w:rsid w:val="00EA0351"/>
    <w:rsid w:val="00EA06FF"/>
    <w:rsid w:val="00EA1390"/>
    <w:rsid w:val="00EA1900"/>
    <w:rsid w:val="00EA1DE4"/>
    <w:rsid w:val="00EA2144"/>
    <w:rsid w:val="00EA2446"/>
    <w:rsid w:val="00EA3235"/>
    <w:rsid w:val="00EA35BC"/>
    <w:rsid w:val="00EA4930"/>
    <w:rsid w:val="00EA5A54"/>
    <w:rsid w:val="00EA6296"/>
    <w:rsid w:val="00EA6DBC"/>
    <w:rsid w:val="00EA7D32"/>
    <w:rsid w:val="00EB0B2C"/>
    <w:rsid w:val="00EB1030"/>
    <w:rsid w:val="00EB135F"/>
    <w:rsid w:val="00EB14AD"/>
    <w:rsid w:val="00EB160F"/>
    <w:rsid w:val="00EB4426"/>
    <w:rsid w:val="00EB4CDB"/>
    <w:rsid w:val="00EB4E58"/>
    <w:rsid w:val="00EB51DE"/>
    <w:rsid w:val="00EB6567"/>
    <w:rsid w:val="00EC0936"/>
    <w:rsid w:val="00EC1E23"/>
    <w:rsid w:val="00EC276D"/>
    <w:rsid w:val="00EC2B28"/>
    <w:rsid w:val="00EC5663"/>
    <w:rsid w:val="00EC5BDA"/>
    <w:rsid w:val="00EC708C"/>
    <w:rsid w:val="00EC7479"/>
    <w:rsid w:val="00ED00C0"/>
    <w:rsid w:val="00ED11AE"/>
    <w:rsid w:val="00ED1384"/>
    <w:rsid w:val="00ED17A6"/>
    <w:rsid w:val="00ED1AFF"/>
    <w:rsid w:val="00ED1C0B"/>
    <w:rsid w:val="00ED2B6D"/>
    <w:rsid w:val="00ED3DFA"/>
    <w:rsid w:val="00ED3EBD"/>
    <w:rsid w:val="00ED4CFD"/>
    <w:rsid w:val="00ED4D5A"/>
    <w:rsid w:val="00ED5098"/>
    <w:rsid w:val="00ED5383"/>
    <w:rsid w:val="00ED56F1"/>
    <w:rsid w:val="00ED599A"/>
    <w:rsid w:val="00ED7376"/>
    <w:rsid w:val="00ED7D4D"/>
    <w:rsid w:val="00EE052D"/>
    <w:rsid w:val="00EE05ED"/>
    <w:rsid w:val="00EE152A"/>
    <w:rsid w:val="00EE1CD0"/>
    <w:rsid w:val="00EE21B1"/>
    <w:rsid w:val="00EE3B7A"/>
    <w:rsid w:val="00EE449B"/>
    <w:rsid w:val="00EE4D22"/>
    <w:rsid w:val="00EE5214"/>
    <w:rsid w:val="00EE521D"/>
    <w:rsid w:val="00EE5339"/>
    <w:rsid w:val="00EE5C91"/>
    <w:rsid w:val="00EE61EE"/>
    <w:rsid w:val="00EE6EFA"/>
    <w:rsid w:val="00EE73BD"/>
    <w:rsid w:val="00EE772F"/>
    <w:rsid w:val="00EE778C"/>
    <w:rsid w:val="00EF0AF3"/>
    <w:rsid w:val="00EF20FA"/>
    <w:rsid w:val="00EF2192"/>
    <w:rsid w:val="00EF2DE1"/>
    <w:rsid w:val="00EF30F5"/>
    <w:rsid w:val="00EF360B"/>
    <w:rsid w:val="00EF384C"/>
    <w:rsid w:val="00EF4904"/>
    <w:rsid w:val="00EF50F2"/>
    <w:rsid w:val="00EF5748"/>
    <w:rsid w:val="00EF7F2B"/>
    <w:rsid w:val="00F0013E"/>
    <w:rsid w:val="00F00641"/>
    <w:rsid w:val="00F006A1"/>
    <w:rsid w:val="00F00FEB"/>
    <w:rsid w:val="00F01819"/>
    <w:rsid w:val="00F02064"/>
    <w:rsid w:val="00F029E7"/>
    <w:rsid w:val="00F02B8C"/>
    <w:rsid w:val="00F036AC"/>
    <w:rsid w:val="00F0480B"/>
    <w:rsid w:val="00F06E0E"/>
    <w:rsid w:val="00F072D7"/>
    <w:rsid w:val="00F07407"/>
    <w:rsid w:val="00F110F5"/>
    <w:rsid w:val="00F12CBF"/>
    <w:rsid w:val="00F140FC"/>
    <w:rsid w:val="00F14873"/>
    <w:rsid w:val="00F14EE3"/>
    <w:rsid w:val="00F150D7"/>
    <w:rsid w:val="00F15969"/>
    <w:rsid w:val="00F15F0F"/>
    <w:rsid w:val="00F1631C"/>
    <w:rsid w:val="00F17743"/>
    <w:rsid w:val="00F21389"/>
    <w:rsid w:val="00F21569"/>
    <w:rsid w:val="00F218C3"/>
    <w:rsid w:val="00F226F4"/>
    <w:rsid w:val="00F22CC0"/>
    <w:rsid w:val="00F2334A"/>
    <w:rsid w:val="00F24663"/>
    <w:rsid w:val="00F246F4"/>
    <w:rsid w:val="00F24744"/>
    <w:rsid w:val="00F249EA"/>
    <w:rsid w:val="00F25317"/>
    <w:rsid w:val="00F257BA"/>
    <w:rsid w:val="00F26503"/>
    <w:rsid w:val="00F26DBC"/>
    <w:rsid w:val="00F26F3C"/>
    <w:rsid w:val="00F274B5"/>
    <w:rsid w:val="00F27FC5"/>
    <w:rsid w:val="00F30506"/>
    <w:rsid w:val="00F30E40"/>
    <w:rsid w:val="00F31113"/>
    <w:rsid w:val="00F32331"/>
    <w:rsid w:val="00F33A4D"/>
    <w:rsid w:val="00F33D91"/>
    <w:rsid w:val="00F3402F"/>
    <w:rsid w:val="00F34282"/>
    <w:rsid w:val="00F3517F"/>
    <w:rsid w:val="00F360E6"/>
    <w:rsid w:val="00F41075"/>
    <w:rsid w:val="00F41629"/>
    <w:rsid w:val="00F41999"/>
    <w:rsid w:val="00F41A4B"/>
    <w:rsid w:val="00F41AD2"/>
    <w:rsid w:val="00F41CC8"/>
    <w:rsid w:val="00F42CF1"/>
    <w:rsid w:val="00F43233"/>
    <w:rsid w:val="00F43242"/>
    <w:rsid w:val="00F438C4"/>
    <w:rsid w:val="00F4436B"/>
    <w:rsid w:val="00F45552"/>
    <w:rsid w:val="00F45A72"/>
    <w:rsid w:val="00F461E8"/>
    <w:rsid w:val="00F4663C"/>
    <w:rsid w:val="00F468FD"/>
    <w:rsid w:val="00F472A5"/>
    <w:rsid w:val="00F508E1"/>
    <w:rsid w:val="00F50C1E"/>
    <w:rsid w:val="00F50E8C"/>
    <w:rsid w:val="00F521F2"/>
    <w:rsid w:val="00F52602"/>
    <w:rsid w:val="00F52991"/>
    <w:rsid w:val="00F53407"/>
    <w:rsid w:val="00F54C4C"/>
    <w:rsid w:val="00F561CE"/>
    <w:rsid w:val="00F569B2"/>
    <w:rsid w:val="00F56A35"/>
    <w:rsid w:val="00F573F0"/>
    <w:rsid w:val="00F6052F"/>
    <w:rsid w:val="00F61FE8"/>
    <w:rsid w:val="00F61FF6"/>
    <w:rsid w:val="00F637BD"/>
    <w:rsid w:val="00F6424A"/>
    <w:rsid w:val="00F64709"/>
    <w:rsid w:val="00F649E9"/>
    <w:rsid w:val="00F65472"/>
    <w:rsid w:val="00F65595"/>
    <w:rsid w:val="00F65DF1"/>
    <w:rsid w:val="00F6725B"/>
    <w:rsid w:val="00F67461"/>
    <w:rsid w:val="00F67981"/>
    <w:rsid w:val="00F679D1"/>
    <w:rsid w:val="00F67F70"/>
    <w:rsid w:val="00F705E1"/>
    <w:rsid w:val="00F71C20"/>
    <w:rsid w:val="00F72020"/>
    <w:rsid w:val="00F735E3"/>
    <w:rsid w:val="00F73868"/>
    <w:rsid w:val="00F73A9E"/>
    <w:rsid w:val="00F765CF"/>
    <w:rsid w:val="00F76BD8"/>
    <w:rsid w:val="00F76BE7"/>
    <w:rsid w:val="00F771B8"/>
    <w:rsid w:val="00F7742A"/>
    <w:rsid w:val="00F80985"/>
    <w:rsid w:val="00F809EE"/>
    <w:rsid w:val="00F815B9"/>
    <w:rsid w:val="00F81E6F"/>
    <w:rsid w:val="00F81FCE"/>
    <w:rsid w:val="00F8212A"/>
    <w:rsid w:val="00F8291F"/>
    <w:rsid w:val="00F83A2B"/>
    <w:rsid w:val="00F85A76"/>
    <w:rsid w:val="00F8650C"/>
    <w:rsid w:val="00F9124B"/>
    <w:rsid w:val="00F918A1"/>
    <w:rsid w:val="00F91B06"/>
    <w:rsid w:val="00F92142"/>
    <w:rsid w:val="00F92744"/>
    <w:rsid w:val="00F92BC4"/>
    <w:rsid w:val="00F9373C"/>
    <w:rsid w:val="00F94BF6"/>
    <w:rsid w:val="00F94D79"/>
    <w:rsid w:val="00F94D9E"/>
    <w:rsid w:val="00F94FBB"/>
    <w:rsid w:val="00F9530C"/>
    <w:rsid w:val="00F95B47"/>
    <w:rsid w:val="00F96FF7"/>
    <w:rsid w:val="00FA0AE1"/>
    <w:rsid w:val="00FA14C8"/>
    <w:rsid w:val="00FA2A43"/>
    <w:rsid w:val="00FA2B09"/>
    <w:rsid w:val="00FA3096"/>
    <w:rsid w:val="00FA3967"/>
    <w:rsid w:val="00FA425F"/>
    <w:rsid w:val="00FA4704"/>
    <w:rsid w:val="00FA4E21"/>
    <w:rsid w:val="00FA590E"/>
    <w:rsid w:val="00FA5B41"/>
    <w:rsid w:val="00FA642B"/>
    <w:rsid w:val="00FA69F5"/>
    <w:rsid w:val="00FA75DF"/>
    <w:rsid w:val="00FB064C"/>
    <w:rsid w:val="00FB1160"/>
    <w:rsid w:val="00FB14BB"/>
    <w:rsid w:val="00FB3D0C"/>
    <w:rsid w:val="00FB3E69"/>
    <w:rsid w:val="00FB4767"/>
    <w:rsid w:val="00FB51E1"/>
    <w:rsid w:val="00FB560F"/>
    <w:rsid w:val="00FB663F"/>
    <w:rsid w:val="00FC038D"/>
    <w:rsid w:val="00FC093E"/>
    <w:rsid w:val="00FC09B9"/>
    <w:rsid w:val="00FC1019"/>
    <w:rsid w:val="00FC28DB"/>
    <w:rsid w:val="00FC3126"/>
    <w:rsid w:val="00FC319E"/>
    <w:rsid w:val="00FC3793"/>
    <w:rsid w:val="00FC5280"/>
    <w:rsid w:val="00FC5914"/>
    <w:rsid w:val="00FC5FE1"/>
    <w:rsid w:val="00FC60C1"/>
    <w:rsid w:val="00FC7B47"/>
    <w:rsid w:val="00FC7B84"/>
    <w:rsid w:val="00FC7BC1"/>
    <w:rsid w:val="00FC7D17"/>
    <w:rsid w:val="00FD0930"/>
    <w:rsid w:val="00FD1044"/>
    <w:rsid w:val="00FD15E3"/>
    <w:rsid w:val="00FD3ED1"/>
    <w:rsid w:val="00FD4E41"/>
    <w:rsid w:val="00FD529A"/>
    <w:rsid w:val="00FD5B08"/>
    <w:rsid w:val="00FD6B06"/>
    <w:rsid w:val="00FD70C1"/>
    <w:rsid w:val="00FD7F84"/>
    <w:rsid w:val="00FE126D"/>
    <w:rsid w:val="00FE1406"/>
    <w:rsid w:val="00FE15AD"/>
    <w:rsid w:val="00FE321A"/>
    <w:rsid w:val="00FE3680"/>
    <w:rsid w:val="00FE3985"/>
    <w:rsid w:val="00FE46AF"/>
    <w:rsid w:val="00FE57F1"/>
    <w:rsid w:val="00FE5CAC"/>
    <w:rsid w:val="00FE6B33"/>
    <w:rsid w:val="00FE73E1"/>
    <w:rsid w:val="00FE7571"/>
    <w:rsid w:val="00FE7D96"/>
    <w:rsid w:val="00FE7DEB"/>
    <w:rsid w:val="00FF00DB"/>
    <w:rsid w:val="00FF0231"/>
    <w:rsid w:val="00FF1841"/>
    <w:rsid w:val="00FF1943"/>
    <w:rsid w:val="00FF32B1"/>
    <w:rsid w:val="00FF3C4E"/>
    <w:rsid w:val="00FF3F1F"/>
    <w:rsid w:val="00FF4A83"/>
    <w:rsid w:val="00FF55AF"/>
    <w:rsid w:val="00FF5F22"/>
    <w:rsid w:val="00FF60FF"/>
    <w:rsid w:val="00FF6592"/>
    <w:rsid w:val="00FF67D6"/>
    <w:rsid w:val="00FF6858"/>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f">
      <v:stroke on="f"/>
      <o:colormru v:ext="edit" colors="#635d63,#304f92,#ff001a,#036,#ddd,silver,#b2b2b2,#d9dadb"/>
    </o:shapedefaults>
    <o:shapelayout v:ext="edit">
      <o:idmap v:ext="edit" data="1"/>
    </o:shapelayout>
  </w:shapeDefaults>
  <w:doNotEmbedSmartTags/>
  <w:decimalSymbol w:val="."/>
  <w:listSeparator w:val=","/>
  <w14:docId w14:val="665BC29A"/>
  <w15:chartTrackingRefBased/>
  <w15:docId w15:val="{1761C518-0482-48B4-B505-DD3088B2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1E"/>
    <w:pPr>
      <w:jc w:val="both"/>
    </w:pPr>
    <w:rPr>
      <w:rFonts w:asciiTheme="minorHAnsi" w:hAnsiTheme="minorHAnsi"/>
      <w:szCs w:val="24"/>
    </w:rPr>
  </w:style>
  <w:style w:type="paragraph" w:styleId="Heading1">
    <w:name w:val="heading 1"/>
    <w:next w:val="BodyText"/>
    <w:link w:val="Heading1Char"/>
    <w:qFormat/>
    <w:rsid w:val="00486A58"/>
    <w:pPr>
      <w:keepNext/>
      <w:spacing w:before="240" w:after="240"/>
      <w:outlineLvl w:val="0"/>
    </w:pPr>
    <w:rPr>
      <w:rFonts w:ascii="Arial" w:hAnsi="Arial"/>
      <w:b/>
      <w:sz w:val="36"/>
      <w:szCs w:val="36"/>
    </w:rPr>
  </w:style>
  <w:style w:type="paragraph" w:styleId="Heading2">
    <w:name w:val="heading 2"/>
    <w:next w:val="BodyText"/>
    <w:link w:val="Heading2Char"/>
    <w:qFormat/>
    <w:rsid w:val="007C149C"/>
    <w:pPr>
      <w:keepNext/>
      <w:spacing w:before="120" w:after="120"/>
      <w:outlineLvl w:val="1"/>
    </w:pPr>
    <w:rPr>
      <w:color w:val="5D876F"/>
      <w:sz w:val="28"/>
      <w:szCs w:val="24"/>
    </w:rPr>
  </w:style>
  <w:style w:type="paragraph" w:styleId="Heading3">
    <w:name w:val="heading 3"/>
    <w:next w:val="BodyText"/>
    <w:link w:val="Heading3Char"/>
    <w:autoRedefine/>
    <w:qFormat/>
    <w:rsid w:val="00F41A4B"/>
    <w:pPr>
      <w:keepNext/>
      <w:spacing w:before="120" w:after="120"/>
      <w:jc w:val="both"/>
      <w:outlineLvl w:val="2"/>
    </w:pPr>
    <w:rPr>
      <w:bCs/>
      <w:color w:val="5D876F"/>
      <w:sz w:val="22"/>
    </w:rPr>
  </w:style>
  <w:style w:type="paragraph" w:styleId="Heading4">
    <w:name w:val="heading 4"/>
    <w:next w:val="BodyText"/>
    <w:link w:val="Heading4Char"/>
    <w:qFormat/>
    <w:rsid w:val="001C59F0"/>
    <w:pPr>
      <w:keepNext/>
      <w:spacing w:before="120" w:after="120"/>
      <w:outlineLvl w:val="3"/>
    </w:pPr>
    <w:rPr>
      <w:color w:val="5D876F"/>
      <w:sz w:val="22"/>
      <w:szCs w:val="24"/>
    </w:rPr>
  </w:style>
  <w:style w:type="paragraph" w:styleId="Heading5">
    <w:name w:val="heading 5"/>
    <w:next w:val="BodyText"/>
    <w:link w:val="Heading5Char"/>
    <w:uiPriority w:val="9"/>
    <w:qFormat/>
    <w:rsid w:val="00BA354E"/>
    <w:pPr>
      <w:keepNext/>
      <w:keepLines/>
      <w:spacing w:before="240" w:after="120"/>
      <w:outlineLvl w:val="4"/>
    </w:pPr>
    <w:rPr>
      <w:rFonts w:ascii="Arial" w:hAnsi="Arial"/>
      <w:b/>
      <w:sz w:val="22"/>
      <w:szCs w:val="24"/>
    </w:rPr>
  </w:style>
  <w:style w:type="paragraph" w:styleId="Heading6">
    <w:name w:val="heading 6"/>
    <w:next w:val="BodyText"/>
    <w:qFormat/>
    <w:rsid w:val="00D903FE"/>
    <w:pPr>
      <w:keepNext/>
      <w:spacing w:before="120" w:after="120"/>
      <w:outlineLvl w:val="5"/>
    </w:pPr>
    <w:rPr>
      <w:rFonts w:ascii="Arial" w:hAnsi="Arial"/>
      <w:bCs/>
      <w:i/>
      <w:color w:val="343333"/>
      <w:sz w:val="28"/>
      <w:szCs w:val="22"/>
    </w:rPr>
  </w:style>
  <w:style w:type="paragraph" w:styleId="Heading7">
    <w:name w:val="heading 7"/>
    <w:basedOn w:val="Normal"/>
    <w:next w:val="Normal"/>
    <w:qFormat/>
    <w:rsid w:val="007E7F07"/>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7E7F07"/>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7E7F07"/>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7F07"/>
    <w:pPr>
      <w:spacing w:before="120" w:after="120" w:line="276" w:lineRule="auto"/>
    </w:pPr>
  </w:style>
  <w:style w:type="paragraph" w:styleId="BodyText2">
    <w:name w:val="Body Text 2"/>
    <w:basedOn w:val="BodyText"/>
    <w:semiHidden/>
    <w:rsid w:val="007E7F07"/>
    <w:rPr>
      <w:lang w:eastAsia="en-US"/>
    </w:rPr>
  </w:style>
  <w:style w:type="paragraph" w:styleId="Header">
    <w:name w:val="header"/>
    <w:basedOn w:val="Normal"/>
    <w:rsid w:val="007E7F07"/>
    <w:pPr>
      <w:tabs>
        <w:tab w:val="center" w:pos="4320"/>
        <w:tab w:val="right" w:pos="8640"/>
      </w:tabs>
    </w:pPr>
  </w:style>
  <w:style w:type="paragraph" w:styleId="ListBullet">
    <w:name w:val="List Bullet"/>
    <w:qFormat/>
    <w:rsid w:val="000277C5"/>
    <w:pPr>
      <w:numPr>
        <w:numId w:val="16"/>
      </w:numPr>
      <w:spacing w:before="60" w:after="60" w:line="276" w:lineRule="auto"/>
    </w:pPr>
    <w:rPr>
      <w:rFonts w:ascii="Arial" w:hAnsi="Arial"/>
      <w:snapToGrid w:val="0"/>
      <w:sz w:val="22"/>
      <w:szCs w:val="24"/>
    </w:rPr>
  </w:style>
  <w:style w:type="table" w:styleId="TableGrid">
    <w:name w:val="Table Grid"/>
    <w:basedOn w:val="TableNormal"/>
    <w:rsid w:val="007E7F07"/>
    <w:rPr>
      <w:rFonts w:ascii="Arial" w:hAnsi="Arial"/>
    </w:rPr>
    <w:tblPr>
      <w:tblInd w:w="108" w:type="dxa"/>
    </w:tblPr>
    <w:trPr>
      <w:cantSplit/>
      <w:tblHeader/>
    </w:trPr>
  </w:style>
  <w:style w:type="paragraph" w:styleId="TOC2">
    <w:name w:val="toc 2"/>
    <w:basedOn w:val="Normal"/>
    <w:next w:val="Normal"/>
    <w:uiPriority w:val="39"/>
    <w:rsid w:val="008C6A73"/>
    <w:pPr>
      <w:tabs>
        <w:tab w:val="left" w:pos="1134"/>
        <w:tab w:val="right" w:leader="dot" w:pos="8505"/>
      </w:tabs>
      <w:spacing w:before="60"/>
      <w:ind w:left="567" w:right="567"/>
    </w:pPr>
    <w:rPr>
      <w:noProof/>
    </w:rPr>
  </w:style>
  <w:style w:type="paragraph" w:customStyle="1" w:styleId="TableBullet">
    <w:name w:val="Table Bullet"/>
    <w:basedOn w:val="TableTextLeft"/>
    <w:rsid w:val="000277C5"/>
    <w:pPr>
      <w:numPr>
        <w:numId w:val="18"/>
      </w:numPr>
    </w:pPr>
  </w:style>
  <w:style w:type="paragraph" w:customStyle="1" w:styleId="TableTextLeft">
    <w:name w:val="Table Text Left"/>
    <w:basedOn w:val="Normal"/>
    <w:link w:val="TableTextLeftCharChar"/>
    <w:rsid w:val="007E7F07"/>
    <w:pPr>
      <w:spacing w:before="60" w:after="40"/>
    </w:pPr>
    <w:rPr>
      <w:rFonts w:eastAsia="MS Mincho"/>
      <w:lang w:eastAsia="en-US"/>
    </w:rPr>
  </w:style>
  <w:style w:type="character" w:customStyle="1" w:styleId="TableTextLeftCharChar">
    <w:name w:val="Table Text Left Char Char"/>
    <w:basedOn w:val="DefaultParagraphFont"/>
    <w:link w:val="TableTextLeft"/>
    <w:rsid w:val="007E7F07"/>
    <w:rPr>
      <w:rFonts w:ascii="Arial" w:eastAsia="MS Mincho" w:hAnsi="Arial"/>
      <w:szCs w:val="24"/>
      <w:lang w:val="en-AU" w:eastAsia="en-US" w:bidi="ar-SA"/>
    </w:rPr>
  </w:style>
  <w:style w:type="character" w:styleId="Hyperlink">
    <w:name w:val="Hyperlink"/>
    <w:basedOn w:val="DefaultParagraphFont"/>
    <w:uiPriority w:val="99"/>
    <w:rsid w:val="007E7F07"/>
    <w:rPr>
      <w:color w:val="0000FF"/>
      <w:u w:val="single"/>
    </w:rPr>
  </w:style>
  <w:style w:type="numbering" w:styleId="111111">
    <w:name w:val="Outline List 2"/>
    <w:basedOn w:val="NoList"/>
    <w:semiHidden/>
    <w:rsid w:val="007E7F07"/>
    <w:pPr>
      <w:numPr>
        <w:numId w:val="1"/>
      </w:numPr>
    </w:pPr>
  </w:style>
  <w:style w:type="table" w:customStyle="1" w:styleId="BlackTable">
    <w:name w:val="Black Table"/>
    <w:basedOn w:val="TableNormal"/>
    <w:rsid w:val="007E7F0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8C6A73"/>
    <w:pPr>
      <w:tabs>
        <w:tab w:val="left" w:pos="567"/>
        <w:tab w:val="right" w:leader="dot" w:pos="8505"/>
      </w:tabs>
      <w:spacing w:before="120"/>
      <w:ind w:right="567"/>
    </w:pPr>
    <w:rPr>
      <w:noProof/>
      <w:sz w:val="24"/>
    </w:rPr>
  </w:style>
  <w:style w:type="character" w:customStyle="1" w:styleId="Date1">
    <w:name w:val="Date1"/>
    <w:basedOn w:val="DefaultParagraphFont"/>
    <w:semiHidden/>
    <w:rsid w:val="007E7F07"/>
  </w:style>
  <w:style w:type="paragraph" w:customStyle="1" w:styleId="Heading">
    <w:name w:val="Heading"/>
    <w:basedOn w:val="Heading1"/>
    <w:next w:val="BodyText"/>
    <w:link w:val="HeadingChar"/>
    <w:qFormat/>
    <w:rsid w:val="00784A76"/>
    <w:pPr>
      <w:pageBreakBefore/>
    </w:pPr>
    <w:rPr>
      <w:noProof/>
    </w:rPr>
  </w:style>
  <w:style w:type="table" w:customStyle="1" w:styleId="Figure">
    <w:name w:val="Figure"/>
    <w:basedOn w:val="TableGrid1"/>
    <w:uiPriority w:val="99"/>
    <w:rsid w:val="00EF574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Quotation">
    <w:name w:val="Block Quotation"/>
    <w:basedOn w:val="BodyText"/>
    <w:autoRedefine/>
    <w:qFormat/>
    <w:rsid w:val="004D05A9"/>
    <w:pPr>
      <w:spacing w:before="0" w:after="0"/>
    </w:pPr>
    <w:rPr>
      <w:rFonts w:ascii="Times New Roman" w:hAnsi="Times New Roman"/>
      <w:b/>
      <w:noProof/>
      <w:lang w:eastAsia="en-US"/>
    </w:rPr>
  </w:style>
  <w:style w:type="paragraph" w:styleId="ListNumber">
    <w:name w:val="List Number"/>
    <w:aliases w:val="Numbered level 1"/>
    <w:basedOn w:val="Normal"/>
    <w:rsid w:val="000277C5"/>
    <w:pPr>
      <w:numPr>
        <w:ilvl w:val="5"/>
        <w:numId w:val="17"/>
      </w:numPr>
      <w:spacing w:before="60" w:after="60" w:line="276" w:lineRule="auto"/>
    </w:pPr>
    <w:rPr>
      <w:color w:val="000000"/>
    </w:rPr>
  </w:style>
  <w:style w:type="paragraph" w:styleId="Footer">
    <w:name w:val="footer"/>
    <w:link w:val="FooterChar"/>
    <w:uiPriority w:val="99"/>
    <w:rsid w:val="007E7F07"/>
    <w:pPr>
      <w:tabs>
        <w:tab w:val="right" w:pos="9355"/>
      </w:tabs>
    </w:pPr>
    <w:rPr>
      <w:rFonts w:ascii="Arial" w:hAnsi="Arial"/>
      <w:b/>
      <w:color w:val="635D63"/>
      <w:sz w:val="18"/>
      <w:szCs w:val="18"/>
    </w:rPr>
  </w:style>
  <w:style w:type="paragraph" w:customStyle="1" w:styleId="BodyText-White">
    <w:name w:val="Body Text - White"/>
    <w:basedOn w:val="BodyText"/>
    <w:rsid w:val="007E7F07"/>
    <w:rPr>
      <w:color w:val="FFFFFF"/>
    </w:rPr>
  </w:style>
  <w:style w:type="paragraph" w:customStyle="1" w:styleId="SectionHeading">
    <w:name w:val="Section Heading"/>
    <w:basedOn w:val="Normal"/>
    <w:semiHidden/>
    <w:rsid w:val="007E7F07"/>
    <w:pPr>
      <w:tabs>
        <w:tab w:val="num" w:pos="1134"/>
      </w:tabs>
      <w:ind w:hanging="567"/>
    </w:pPr>
    <w:rPr>
      <w:sz w:val="48"/>
    </w:rPr>
  </w:style>
  <w:style w:type="character" w:customStyle="1" w:styleId="SectionNo">
    <w:name w:val="Section No"/>
    <w:basedOn w:val="DefaultParagraphFont"/>
    <w:semiHidden/>
    <w:rsid w:val="007E7F07"/>
    <w:rPr>
      <w:rFonts w:ascii="Arial" w:hAnsi="Arial"/>
      <w:b/>
      <w:sz w:val="20"/>
    </w:rPr>
  </w:style>
  <w:style w:type="character" w:customStyle="1" w:styleId="BodyTextItalics">
    <w:name w:val="Body Text Italics"/>
    <w:basedOn w:val="DefaultParagraphFont"/>
    <w:semiHidden/>
    <w:rsid w:val="007E7F07"/>
    <w:rPr>
      <w:rFonts w:ascii="Arial" w:hAnsi="Arial"/>
      <w:i/>
      <w:sz w:val="20"/>
      <w:lang w:val="en-AU"/>
    </w:rPr>
  </w:style>
  <w:style w:type="character" w:customStyle="1" w:styleId="BoldEmphasis">
    <w:name w:val="Bold Emphasis"/>
    <w:basedOn w:val="DefaultParagraphFont"/>
    <w:semiHidden/>
    <w:rsid w:val="007E7F07"/>
    <w:rPr>
      <w:b/>
    </w:rPr>
  </w:style>
  <w:style w:type="paragraph" w:styleId="TOC3">
    <w:name w:val="toc 3"/>
    <w:basedOn w:val="Normal"/>
    <w:next w:val="Normal"/>
    <w:uiPriority w:val="39"/>
    <w:rsid w:val="008C6A73"/>
    <w:pPr>
      <w:tabs>
        <w:tab w:val="left" w:pos="1701"/>
        <w:tab w:val="right" w:leader="dot" w:pos="8505"/>
      </w:tabs>
      <w:ind w:left="1134" w:right="567"/>
    </w:pPr>
    <w:rPr>
      <w:noProof/>
    </w:rPr>
  </w:style>
  <w:style w:type="paragraph" w:styleId="BodyText3">
    <w:name w:val="Body Text 3"/>
    <w:basedOn w:val="BodyText"/>
    <w:semiHidden/>
    <w:rsid w:val="007E7F07"/>
    <w:rPr>
      <w:szCs w:val="16"/>
      <w:lang w:eastAsia="en-US"/>
    </w:rPr>
  </w:style>
  <w:style w:type="table" w:customStyle="1" w:styleId="NavyTable">
    <w:name w:val="Navy Table"/>
    <w:basedOn w:val="TableNormal"/>
    <w:rsid w:val="004A025E"/>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ext">
    <w:name w:val="text"/>
    <w:next w:val="Normal"/>
    <w:autoRedefine/>
    <w:semiHidden/>
    <w:rsid w:val="007E7F07"/>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10"/>
    <w:qFormat/>
    <w:rsid w:val="00A267AD"/>
    <w:pPr>
      <w:spacing w:after="600"/>
    </w:pPr>
    <w:rPr>
      <w:b/>
      <w:color w:val="FFFFFF"/>
      <w:sz w:val="48"/>
      <w:szCs w:val="48"/>
      <w:lang w:eastAsia="en-US"/>
    </w:rPr>
  </w:style>
  <w:style w:type="character" w:customStyle="1" w:styleId="DocProjectName">
    <w:name w:val="DocProjectName"/>
    <w:basedOn w:val="DefaultParagraphFont"/>
    <w:semiHidden/>
    <w:rsid w:val="007E7F07"/>
  </w:style>
  <w:style w:type="character" w:customStyle="1" w:styleId="DocTitle">
    <w:name w:val="DocTitle"/>
    <w:basedOn w:val="DefaultParagraphFont"/>
    <w:semiHidden/>
    <w:rsid w:val="007E7F07"/>
  </w:style>
  <w:style w:type="character" w:customStyle="1" w:styleId="DocSubTitle">
    <w:name w:val="DocSubTitle"/>
    <w:basedOn w:val="DefaultParagraphFont"/>
    <w:semiHidden/>
    <w:rsid w:val="007E7F07"/>
  </w:style>
  <w:style w:type="paragraph" w:customStyle="1" w:styleId="TableTextCentre">
    <w:name w:val="Table Text Centre"/>
    <w:basedOn w:val="TableTextLeft"/>
    <w:rsid w:val="007E7F07"/>
    <w:pPr>
      <w:jc w:val="center"/>
    </w:pPr>
    <w:rPr>
      <w:lang w:val="en-NZ"/>
    </w:rPr>
  </w:style>
  <w:style w:type="paragraph" w:styleId="ListParagraph">
    <w:name w:val="List Paragraph"/>
    <w:basedOn w:val="BodyText"/>
    <w:link w:val="ListParagraphChar"/>
    <w:uiPriority w:val="34"/>
    <w:qFormat/>
    <w:rsid w:val="007E7F07"/>
    <w:pPr>
      <w:numPr>
        <w:numId w:val="14"/>
      </w:numPr>
      <w:spacing w:before="60" w:after="60"/>
    </w:pPr>
  </w:style>
  <w:style w:type="paragraph" w:customStyle="1" w:styleId="TableTitle">
    <w:name w:val="Table Title"/>
    <w:basedOn w:val="Heading5"/>
    <w:semiHidden/>
    <w:rsid w:val="007E7F07"/>
    <w:rPr>
      <w:rFonts w:ascii="Gill Sans MT" w:hAnsi="Gill Sans MT"/>
      <w:color w:val="000000"/>
      <w:sz w:val="18"/>
    </w:rPr>
  </w:style>
  <w:style w:type="paragraph" w:customStyle="1" w:styleId="DueDate">
    <w:name w:val="DueDate"/>
    <w:semiHidden/>
    <w:rsid w:val="007E7F07"/>
    <w:pPr>
      <w:spacing w:before="80"/>
      <w:ind w:left="284"/>
    </w:pPr>
    <w:rPr>
      <w:rFonts w:ascii="Gill Sans MT" w:hAnsi="Gill Sans MT" w:cs="Arial"/>
      <w:color w:val="003366"/>
      <w:sz w:val="28"/>
      <w:szCs w:val="28"/>
      <w:lang w:eastAsia="en-US"/>
    </w:rPr>
  </w:style>
  <w:style w:type="character" w:customStyle="1" w:styleId="TitleChar">
    <w:name w:val="Title Char"/>
    <w:basedOn w:val="DefaultParagraphFont"/>
    <w:link w:val="Title"/>
    <w:uiPriority w:val="10"/>
    <w:rsid w:val="00A267AD"/>
    <w:rPr>
      <w:rFonts w:ascii="Arial" w:hAnsi="Arial"/>
      <w:b/>
      <w:color w:val="FFFFFF"/>
      <w:sz w:val="48"/>
      <w:szCs w:val="48"/>
      <w:lang w:val="en-AU" w:eastAsia="en-US" w:bidi="ar-SA"/>
    </w:rPr>
  </w:style>
  <w:style w:type="paragraph" w:customStyle="1" w:styleId="TableListNumber">
    <w:name w:val="Table List Number"/>
    <w:basedOn w:val="TableTextLeft"/>
    <w:rsid w:val="000277C5"/>
    <w:pPr>
      <w:numPr>
        <w:numId w:val="20"/>
      </w:numPr>
    </w:pPr>
  </w:style>
  <w:style w:type="paragraph" w:customStyle="1" w:styleId="TableListLetter">
    <w:name w:val="Table List Letter"/>
    <w:basedOn w:val="TableTextLeft"/>
    <w:rsid w:val="000277C5"/>
    <w:pPr>
      <w:numPr>
        <w:numId w:val="19"/>
      </w:numPr>
    </w:pPr>
  </w:style>
  <w:style w:type="table" w:customStyle="1" w:styleId="Table-Standard1">
    <w:name w:val="Table-Standard1"/>
    <w:basedOn w:val="TableNormal"/>
    <w:semiHidden/>
    <w:rsid w:val="007E7F07"/>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897242"/>
    <w:pPr>
      <w:spacing w:after="600"/>
      <w:ind w:left="567" w:right="567"/>
    </w:pPr>
    <w:rPr>
      <w:rFonts w:ascii="Arial" w:hAnsi="Arial" w:cs="Arial"/>
      <w:color w:val="000000"/>
      <w:sz w:val="24"/>
      <w:szCs w:val="24"/>
    </w:rPr>
  </w:style>
  <w:style w:type="paragraph" w:styleId="Subtitle">
    <w:name w:val="Subtitle"/>
    <w:qFormat/>
    <w:rsid w:val="00F02B8C"/>
    <w:pPr>
      <w:spacing w:after="600"/>
      <w:ind w:right="567"/>
      <w:outlineLvl w:val="1"/>
    </w:pPr>
    <w:rPr>
      <w:rFonts w:ascii="Arial" w:hAnsi="Arial" w:cs="Arial"/>
      <w:b/>
      <w:color w:val="FFFFFF"/>
      <w:sz w:val="40"/>
      <w:szCs w:val="40"/>
    </w:rPr>
  </w:style>
  <w:style w:type="paragraph" w:customStyle="1" w:styleId="ListAlpha">
    <w:name w:val="List Alpha"/>
    <w:basedOn w:val="ListNumber"/>
    <w:semiHidden/>
    <w:rsid w:val="007E7F07"/>
    <w:pPr>
      <w:numPr>
        <w:ilvl w:val="0"/>
        <w:numId w:val="5"/>
      </w:numPr>
    </w:pPr>
  </w:style>
  <w:style w:type="character" w:customStyle="1" w:styleId="DocDate">
    <w:name w:val="DocDate"/>
    <w:basedOn w:val="DefaultParagraphFont"/>
    <w:semiHidden/>
    <w:rsid w:val="007E7F07"/>
  </w:style>
  <w:style w:type="numbering" w:styleId="1ai">
    <w:name w:val="Outline List 1"/>
    <w:basedOn w:val="NoList"/>
    <w:semiHidden/>
    <w:rsid w:val="007E7F07"/>
    <w:pPr>
      <w:numPr>
        <w:numId w:val="2"/>
      </w:numPr>
    </w:pPr>
  </w:style>
  <w:style w:type="numbering" w:styleId="ArticleSection">
    <w:name w:val="Outline List 3"/>
    <w:basedOn w:val="NoList"/>
    <w:semiHidden/>
    <w:rsid w:val="007E7F07"/>
    <w:pPr>
      <w:numPr>
        <w:numId w:val="3"/>
      </w:numPr>
    </w:pPr>
  </w:style>
  <w:style w:type="paragraph" w:styleId="BlockText">
    <w:name w:val="Block Text"/>
    <w:basedOn w:val="Normal"/>
    <w:semiHidden/>
    <w:rsid w:val="007E7F07"/>
    <w:pPr>
      <w:spacing w:after="120"/>
      <w:ind w:left="1440" w:right="1440"/>
    </w:pPr>
  </w:style>
  <w:style w:type="paragraph" w:styleId="BodyTextFirstIndent">
    <w:name w:val="Body Text First Indent"/>
    <w:basedOn w:val="BodyText"/>
    <w:semiHidden/>
    <w:rsid w:val="007E7F07"/>
    <w:pPr>
      <w:spacing w:line="240" w:lineRule="auto"/>
      <w:ind w:firstLine="210"/>
    </w:pPr>
  </w:style>
  <w:style w:type="paragraph" w:styleId="BodyTextIndent">
    <w:name w:val="Body Text Indent"/>
    <w:basedOn w:val="Normal"/>
    <w:semiHidden/>
    <w:rsid w:val="007E7F07"/>
    <w:pPr>
      <w:spacing w:after="120"/>
      <w:ind w:left="283"/>
    </w:pPr>
  </w:style>
  <w:style w:type="paragraph" w:styleId="BodyTextFirstIndent2">
    <w:name w:val="Body Text First Indent 2"/>
    <w:basedOn w:val="BodyTextIndent"/>
    <w:semiHidden/>
    <w:rsid w:val="007E7F07"/>
    <w:pPr>
      <w:ind w:firstLine="210"/>
    </w:pPr>
  </w:style>
  <w:style w:type="paragraph" w:styleId="BodyTextIndent2">
    <w:name w:val="Body Text Indent 2"/>
    <w:basedOn w:val="Normal"/>
    <w:semiHidden/>
    <w:rsid w:val="007E7F07"/>
    <w:pPr>
      <w:spacing w:after="120" w:line="480" w:lineRule="auto"/>
      <w:ind w:left="283"/>
    </w:pPr>
  </w:style>
  <w:style w:type="paragraph" w:styleId="BodyTextIndent3">
    <w:name w:val="Body Text Indent 3"/>
    <w:basedOn w:val="Normal"/>
    <w:semiHidden/>
    <w:rsid w:val="007E7F07"/>
    <w:pPr>
      <w:spacing w:after="120"/>
      <w:ind w:left="283"/>
    </w:pPr>
    <w:rPr>
      <w:sz w:val="16"/>
      <w:szCs w:val="16"/>
    </w:rPr>
  </w:style>
  <w:style w:type="paragraph" w:styleId="Caption">
    <w:name w:val="caption"/>
    <w:basedOn w:val="Normal"/>
    <w:next w:val="BodyText"/>
    <w:qFormat/>
    <w:rsid w:val="007E7F07"/>
    <w:pPr>
      <w:spacing w:before="120" w:after="120"/>
    </w:pPr>
    <w:rPr>
      <w:b/>
      <w:bCs/>
      <w:szCs w:val="20"/>
    </w:rPr>
  </w:style>
  <w:style w:type="paragraph" w:styleId="Closing">
    <w:name w:val="Closing"/>
    <w:basedOn w:val="Normal"/>
    <w:semiHidden/>
    <w:rsid w:val="007E7F07"/>
    <w:pPr>
      <w:ind w:left="4252"/>
    </w:pPr>
  </w:style>
  <w:style w:type="paragraph" w:styleId="Date">
    <w:name w:val="Date"/>
    <w:basedOn w:val="Normal"/>
    <w:next w:val="Normal"/>
    <w:semiHidden/>
    <w:rsid w:val="007E7F07"/>
  </w:style>
  <w:style w:type="paragraph" w:styleId="E-mailSignature">
    <w:name w:val="E-mail Signature"/>
    <w:basedOn w:val="Normal"/>
    <w:semiHidden/>
    <w:rsid w:val="007E7F07"/>
  </w:style>
  <w:style w:type="character" w:styleId="Emphasis">
    <w:name w:val="Emphasis"/>
    <w:basedOn w:val="DefaultParagraphFont"/>
    <w:qFormat/>
    <w:rsid w:val="007E7F07"/>
    <w:rPr>
      <w:i/>
      <w:iCs/>
    </w:rPr>
  </w:style>
  <w:style w:type="paragraph" w:styleId="EnvelopeAddress">
    <w:name w:val="envelope address"/>
    <w:basedOn w:val="Normal"/>
    <w:semiHidden/>
    <w:rsid w:val="007E7F07"/>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7E7F07"/>
    <w:rPr>
      <w:rFonts w:cs="Arial"/>
      <w:szCs w:val="20"/>
    </w:rPr>
  </w:style>
  <w:style w:type="character" w:styleId="FollowedHyperlink">
    <w:name w:val="FollowedHyperlink"/>
    <w:basedOn w:val="DefaultParagraphFont"/>
    <w:semiHidden/>
    <w:rsid w:val="007E7F07"/>
    <w:rPr>
      <w:color w:val="800080"/>
      <w:u w:val="single"/>
    </w:rPr>
  </w:style>
  <w:style w:type="character" w:styleId="HTMLAcronym">
    <w:name w:val="HTML Acronym"/>
    <w:basedOn w:val="DefaultParagraphFont"/>
    <w:semiHidden/>
    <w:rsid w:val="007E7F07"/>
  </w:style>
  <w:style w:type="paragraph" w:styleId="HTMLAddress">
    <w:name w:val="HTML Address"/>
    <w:basedOn w:val="Normal"/>
    <w:semiHidden/>
    <w:rsid w:val="007E7F07"/>
    <w:rPr>
      <w:i/>
      <w:iCs/>
    </w:rPr>
  </w:style>
  <w:style w:type="character" w:styleId="HTMLCite">
    <w:name w:val="HTML Cite"/>
    <w:basedOn w:val="DefaultParagraphFont"/>
    <w:semiHidden/>
    <w:rsid w:val="007E7F07"/>
    <w:rPr>
      <w:i/>
      <w:iCs/>
    </w:rPr>
  </w:style>
  <w:style w:type="character" w:styleId="HTMLCode">
    <w:name w:val="HTML Code"/>
    <w:basedOn w:val="DefaultParagraphFont"/>
    <w:semiHidden/>
    <w:rsid w:val="007E7F07"/>
    <w:rPr>
      <w:rFonts w:ascii="Courier New" w:hAnsi="Courier New" w:cs="Courier New"/>
      <w:sz w:val="20"/>
      <w:szCs w:val="20"/>
    </w:rPr>
  </w:style>
  <w:style w:type="character" w:styleId="HTMLDefinition">
    <w:name w:val="HTML Definition"/>
    <w:basedOn w:val="DefaultParagraphFont"/>
    <w:semiHidden/>
    <w:rsid w:val="007E7F07"/>
    <w:rPr>
      <w:i/>
      <w:iCs/>
    </w:rPr>
  </w:style>
  <w:style w:type="character" w:styleId="HTMLKeyboard">
    <w:name w:val="HTML Keyboard"/>
    <w:basedOn w:val="DefaultParagraphFont"/>
    <w:semiHidden/>
    <w:rsid w:val="007E7F07"/>
    <w:rPr>
      <w:rFonts w:ascii="Courier New" w:hAnsi="Courier New" w:cs="Courier New"/>
      <w:sz w:val="20"/>
      <w:szCs w:val="20"/>
    </w:rPr>
  </w:style>
  <w:style w:type="paragraph" w:styleId="HTMLPreformatted">
    <w:name w:val="HTML Preformatted"/>
    <w:basedOn w:val="Normal"/>
    <w:semiHidden/>
    <w:rsid w:val="007E7F07"/>
    <w:rPr>
      <w:rFonts w:ascii="Courier New" w:hAnsi="Courier New" w:cs="Courier New"/>
      <w:szCs w:val="20"/>
    </w:rPr>
  </w:style>
  <w:style w:type="character" w:styleId="HTMLSample">
    <w:name w:val="HTML Sample"/>
    <w:basedOn w:val="DefaultParagraphFont"/>
    <w:semiHidden/>
    <w:rsid w:val="007E7F07"/>
    <w:rPr>
      <w:rFonts w:ascii="Courier New" w:hAnsi="Courier New" w:cs="Courier New"/>
    </w:rPr>
  </w:style>
  <w:style w:type="character" w:styleId="HTMLTypewriter">
    <w:name w:val="HTML Typewriter"/>
    <w:basedOn w:val="DefaultParagraphFont"/>
    <w:semiHidden/>
    <w:rsid w:val="007E7F07"/>
    <w:rPr>
      <w:rFonts w:ascii="Courier New" w:hAnsi="Courier New" w:cs="Courier New"/>
      <w:sz w:val="20"/>
      <w:szCs w:val="20"/>
    </w:rPr>
  </w:style>
  <w:style w:type="character" w:styleId="HTMLVariable">
    <w:name w:val="HTML Variable"/>
    <w:basedOn w:val="DefaultParagraphFont"/>
    <w:semiHidden/>
    <w:rsid w:val="007E7F07"/>
    <w:rPr>
      <w:i/>
      <w:iCs/>
    </w:rPr>
  </w:style>
  <w:style w:type="character" w:styleId="LineNumber">
    <w:name w:val="line number"/>
    <w:basedOn w:val="DefaultParagraphFont"/>
    <w:semiHidden/>
    <w:rsid w:val="007E7F07"/>
  </w:style>
  <w:style w:type="paragraph" w:styleId="List">
    <w:name w:val="List"/>
    <w:basedOn w:val="Normal"/>
    <w:semiHidden/>
    <w:rsid w:val="007E7F07"/>
    <w:pPr>
      <w:ind w:left="283" w:hanging="283"/>
    </w:pPr>
  </w:style>
  <w:style w:type="paragraph" w:styleId="List2">
    <w:name w:val="List 2"/>
    <w:basedOn w:val="Normal"/>
    <w:semiHidden/>
    <w:rsid w:val="007E7F07"/>
    <w:pPr>
      <w:ind w:left="566" w:hanging="283"/>
    </w:pPr>
  </w:style>
  <w:style w:type="paragraph" w:styleId="List3">
    <w:name w:val="List 3"/>
    <w:basedOn w:val="Normal"/>
    <w:semiHidden/>
    <w:rsid w:val="007E7F07"/>
    <w:pPr>
      <w:ind w:left="849" w:hanging="283"/>
    </w:pPr>
  </w:style>
  <w:style w:type="paragraph" w:styleId="List4">
    <w:name w:val="List 4"/>
    <w:basedOn w:val="Normal"/>
    <w:semiHidden/>
    <w:rsid w:val="007E7F07"/>
    <w:pPr>
      <w:ind w:left="1132" w:hanging="283"/>
    </w:pPr>
  </w:style>
  <w:style w:type="paragraph" w:styleId="List5">
    <w:name w:val="List 5"/>
    <w:basedOn w:val="Normal"/>
    <w:semiHidden/>
    <w:rsid w:val="007E7F07"/>
    <w:pPr>
      <w:ind w:left="1415" w:hanging="283"/>
    </w:pPr>
  </w:style>
  <w:style w:type="paragraph" w:styleId="ListBullet2">
    <w:name w:val="List Bullet 2"/>
    <w:basedOn w:val="Normal"/>
    <w:semiHidden/>
    <w:rsid w:val="007E7F07"/>
    <w:pPr>
      <w:numPr>
        <w:numId w:val="6"/>
      </w:numPr>
    </w:pPr>
  </w:style>
  <w:style w:type="paragraph" w:styleId="ListBullet3">
    <w:name w:val="List Bullet 3"/>
    <w:basedOn w:val="Normal"/>
    <w:semiHidden/>
    <w:rsid w:val="007E7F07"/>
    <w:pPr>
      <w:numPr>
        <w:numId w:val="7"/>
      </w:numPr>
    </w:pPr>
  </w:style>
  <w:style w:type="paragraph" w:styleId="ListBullet4">
    <w:name w:val="List Bullet 4"/>
    <w:basedOn w:val="Normal"/>
    <w:semiHidden/>
    <w:rsid w:val="007E7F07"/>
    <w:pPr>
      <w:numPr>
        <w:numId w:val="8"/>
      </w:numPr>
    </w:pPr>
  </w:style>
  <w:style w:type="paragraph" w:styleId="ListBullet5">
    <w:name w:val="List Bullet 5"/>
    <w:basedOn w:val="Normal"/>
    <w:semiHidden/>
    <w:rsid w:val="007E7F07"/>
    <w:pPr>
      <w:numPr>
        <w:numId w:val="9"/>
      </w:numPr>
    </w:pPr>
  </w:style>
  <w:style w:type="paragraph" w:styleId="ListContinue">
    <w:name w:val="List Continue"/>
    <w:basedOn w:val="Normal"/>
    <w:semiHidden/>
    <w:rsid w:val="007E7F07"/>
    <w:pPr>
      <w:spacing w:after="120"/>
      <w:ind w:left="283"/>
    </w:pPr>
  </w:style>
  <w:style w:type="paragraph" w:styleId="ListContinue2">
    <w:name w:val="List Continue 2"/>
    <w:basedOn w:val="Normal"/>
    <w:semiHidden/>
    <w:rsid w:val="007E7F07"/>
    <w:pPr>
      <w:spacing w:after="120"/>
      <w:ind w:left="566"/>
    </w:pPr>
  </w:style>
  <w:style w:type="paragraph" w:styleId="ListContinue3">
    <w:name w:val="List Continue 3"/>
    <w:basedOn w:val="Normal"/>
    <w:semiHidden/>
    <w:rsid w:val="007E7F07"/>
    <w:pPr>
      <w:spacing w:after="120"/>
      <w:ind w:left="849"/>
    </w:pPr>
  </w:style>
  <w:style w:type="paragraph" w:styleId="ListContinue4">
    <w:name w:val="List Continue 4"/>
    <w:basedOn w:val="Normal"/>
    <w:semiHidden/>
    <w:rsid w:val="007E7F07"/>
    <w:pPr>
      <w:spacing w:after="120"/>
      <w:ind w:left="1132"/>
    </w:pPr>
  </w:style>
  <w:style w:type="paragraph" w:styleId="ListContinue5">
    <w:name w:val="List Continue 5"/>
    <w:basedOn w:val="Normal"/>
    <w:semiHidden/>
    <w:rsid w:val="007E7F07"/>
    <w:pPr>
      <w:spacing w:after="120"/>
      <w:ind w:left="1415"/>
    </w:pPr>
  </w:style>
  <w:style w:type="paragraph" w:styleId="ListNumber2">
    <w:name w:val="List Number 2"/>
    <w:basedOn w:val="Normal"/>
    <w:semiHidden/>
    <w:rsid w:val="007E7F07"/>
    <w:pPr>
      <w:numPr>
        <w:numId w:val="10"/>
      </w:numPr>
    </w:pPr>
  </w:style>
  <w:style w:type="paragraph" w:styleId="ListNumber3">
    <w:name w:val="List Number 3"/>
    <w:basedOn w:val="Normal"/>
    <w:semiHidden/>
    <w:rsid w:val="007E7F07"/>
    <w:pPr>
      <w:numPr>
        <w:numId w:val="11"/>
      </w:numPr>
    </w:pPr>
  </w:style>
  <w:style w:type="paragraph" w:styleId="ListNumber4">
    <w:name w:val="List Number 4"/>
    <w:basedOn w:val="Normal"/>
    <w:semiHidden/>
    <w:rsid w:val="007E7F07"/>
    <w:pPr>
      <w:numPr>
        <w:numId w:val="12"/>
      </w:numPr>
    </w:pPr>
  </w:style>
  <w:style w:type="paragraph" w:styleId="ListNumber5">
    <w:name w:val="List Number 5"/>
    <w:basedOn w:val="Normal"/>
    <w:semiHidden/>
    <w:rsid w:val="007E7F07"/>
    <w:pPr>
      <w:numPr>
        <w:numId w:val="13"/>
      </w:numPr>
    </w:pPr>
  </w:style>
  <w:style w:type="paragraph" w:styleId="MessageHeader">
    <w:name w:val="Message Header"/>
    <w:basedOn w:val="Normal"/>
    <w:semiHidden/>
    <w:rsid w:val="007E7F0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7E7F07"/>
    <w:rPr>
      <w:rFonts w:ascii="Times New Roman" w:hAnsi="Times New Roman"/>
      <w:sz w:val="24"/>
    </w:rPr>
  </w:style>
  <w:style w:type="paragraph" w:styleId="NormalIndent">
    <w:name w:val="Normal Indent"/>
    <w:basedOn w:val="Normal"/>
    <w:semiHidden/>
    <w:rsid w:val="007E7F07"/>
    <w:pPr>
      <w:ind w:left="720"/>
    </w:pPr>
  </w:style>
  <w:style w:type="paragraph" w:styleId="NoteHeading">
    <w:name w:val="Note Heading"/>
    <w:basedOn w:val="Normal"/>
    <w:next w:val="Normal"/>
    <w:semiHidden/>
    <w:rsid w:val="007E7F07"/>
  </w:style>
  <w:style w:type="paragraph" w:styleId="PlainText">
    <w:name w:val="Plain Text"/>
    <w:basedOn w:val="Normal"/>
    <w:semiHidden/>
    <w:rsid w:val="007E7F07"/>
    <w:rPr>
      <w:rFonts w:ascii="Courier New" w:hAnsi="Courier New" w:cs="Courier New"/>
      <w:szCs w:val="20"/>
    </w:rPr>
  </w:style>
  <w:style w:type="paragraph" w:styleId="Salutation">
    <w:name w:val="Salutation"/>
    <w:basedOn w:val="Normal"/>
    <w:next w:val="Normal"/>
    <w:semiHidden/>
    <w:rsid w:val="007E7F07"/>
  </w:style>
  <w:style w:type="paragraph" w:styleId="Signature">
    <w:name w:val="Signature"/>
    <w:basedOn w:val="Normal"/>
    <w:semiHidden/>
    <w:rsid w:val="007E7F07"/>
    <w:pPr>
      <w:ind w:left="4252"/>
    </w:pPr>
  </w:style>
  <w:style w:type="character" w:styleId="Strong">
    <w:name w:val="Strong"/>
    <w:basedOn w:val="DefaultParagraphFont"/>
    <w:qFormat/>
    <w:rsid w:val="007E7F07"/>
    <w:rPr>
      <w:b/>
      <w:bCs/>
    </w:rPr>
  </w:style>
  <w:style w:type="table" w:styleId="Table3Deffects1">
    <w:name w:val="Table 3D effects 1"/>
    <w:basedOn w:val="TableNormal"/>
    <w:semiHidden/>
    <w:rsid w:val="007E7F07"/>
    <w:pPr>
      <w:numPr>
        <w:ilvl w:val="1"/>
        <w:numId w:val="2"/>
      </w:numPr>
      <w:tabs>
        <w:tab w:val="clear" w:pos="720"/>
        <w:tab w:val="num" w:pos="792"/>
      </w:tabs>
      <w:ind w:left="792" w:hanging="43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7F07"/>
    <w:pPr>
      <w:numPr>
        <w:ilvl w:val="1"/>
        <w:numId w:val="2"/>
      </w:numPr>
      <w:tabs>
        <w:tab w:val="clear" w:pos="720"/>
        <w:tab w:val="num" w:pos="792"/>
      </w:tabs>
      <w:ind w:left="792" w:hanging="43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7F07"/>
    <w:pPr>
      <w:numPr>
        <w:ilvl w:val="1"/>
        <w:numId w:val="2"/>
      </w:numPr>
      <w:tabs>
        <w:tab w:val="clear" w:pos="720"/>
        <w:tab w:val="num" w:pos="792"/>
      </w:tabs>
      <w:ind w:left="792" w:hanging="43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7F07"/>
    <w:pPr>
      <w:numPr>
        <w:ilvl w:val="1"/>
        <w:numId w:val="2"/>
      </w:numPr>
      <w:tabs>
        <w:tab w:val="clear" w:pos="720"/>
        <w:tab w:val="num" w:pos="792"/>
      </w:tabs>
      <w:ind w:left="792" w:hanging="43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7F07"/>
    <w:pPr>
      <w:numPr>
        <w:ilvl w:val="1"/>
        <w:numId w:val="2"/>
      </w:numPr>
      <w:tabs>
        <w:tab w:val="clear" w:pos="720"/>
        <w:tab w:val="num" w:pos="792"/>
      </w:tabs>
      <w:ind w:left="792" w:hanging="43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7F07"/>
    <w:pPr>
      <w:numPr>
        <w:ilvl w:val="1"/>
        <w:numId w:val="2"/>
      </w:numPr>
      <w:tabs>
        <w:tab w:val="clear" w:pos="720"/>
        <w:tab w:val="num" w:pos="792"/>
      </w:tabs>
      <w:ind w:left="792" w:hanging="43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7F07"/>
    <w:pPr>
      <w:numPr>
        <w:ilvl w:val="1"/>
        <w:numId w:val="2"/>
      </w:numPr>
      <w:tabs>
        <w:tab w:val="clear" w:pos="720"/>
        <w:tab w:val="num" w:pos="792"/>
      </w:tabs>
      <w:ind w:left="792" w:hanging="43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7F07"/>
    <w:pPr>
      <w:numPr>
        <w:ilvl w:val="1"/>
        <w:numId w:val="2"/>
      </w:numPr>
      <w:tabs>
        <w:tab w:val="clear" w:pos="720"/>
        <w:tab w:val="num" w:pos="792"/>
      </w:tabs>
      <w:ind w:left="792" w:hanging="43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7F07"/>
    <w:pPr>
      <w:numPr>
        <w:ilvl w:val="1"/>
        <w:numId w:val="2"/>
      </w:numPr>
      <w:tabs>
        <w:tab w:val="clear" w:pos="720"/>
        <w:tab w:val="num" w:pos="792"/>
      </w:tabs>
      <w:ind w:left="792" w:hanging="43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7F07"/>
    <w:pPr>
      <w:numPr>
        <w:ilvl w:val="1"/>
        <w:numId w:val="2"/>
      </w:numPr>
      <w:tabs>
        <w:tab w:val="clear" w:pos="720"/>
        <w:tab w:val="num" w:pos="792"/>
      </w:tabs>
      <w:ind w:left="792" w:hanging="43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7F07"/>
    <w:pPr>
      <w:numPr>
        <w:ilvl w:val="1"/>
        <w:numId w:val="2"/>
      </w:numPr>
      <w:tabs>
        <w:tab w:val="clear" w:pos="720"/>
        <w:tab w:val="num" w:pos="792"/>
      </w:tabs>
      <w:ind w:left="792" w:hanging="43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7F07"/>
    <w:pPr>
      <w:numPr>
        <w:ilvl w:val="1"/>
        <w:numId w:val="2"/>
      </w:numPr>
      <w:tabs>
        <w:tab w:val="clear" w:pos="720"/>
        <w:tab w:val="num" w:pos="792"/>
      </w:tabs>
      <w:ind w:left="792" w:hanging="43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7F07"/>
    <w:pPr>
      <w:numPr>
        <w:ilvl w:val="1"/>
        <w:numId w:val="2"/>
      </w:numPr>
      <w:tabs>
        <w:tab w:val="clear" w:pos="720"/>
        <w:tab w:val="num" w:pos="792"/>
      </w:tabs>
      <w:ind w:left="792" w:hanging="43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7F07"/>
    <w:pPr>
      <w:numPr>
        <w:ilvl w:val="1"/>
        <w:numId w:val="2"/>
      </w:numPr>
      <w:tabs>
        <w:tab w:val="clear" w:pos="720"/>
        <w:tab w:val="num" w:pos="792"/>
      </w:tabs>
      <w:ind w:left="792" w:hanging="43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7F07"/>
    <w:pPr>
      <w:numPr>
        <w:ilvl w:val="1"/>
        <w:numId w:val="2"/>
      </w:numPr>
      <w:tabs>
        <w:tab w:val="clear" w:pos="720"/>
        <w:tab w:val="num" w:pos="792"/>
      </w:tabs>
      <w:ind w:left="792" w:hanging="43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7F07"/>
    <w:pPr>
      <w:numPr>
        <w:ilvl w:val="1"/>
        <w:numId w:val="2"/>
      </w:numPr>
      <w:tabs>
        <w:tab w:val="clear" w:pos="720"/>
        <w:tab w:val="num" w:pos="792"/>
      </w:tabs>
      <w:ind w:left="792" w:hanging="43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7F07"/>
    <w:pPr>
      <w:numPr>
        <w:ilvl w:val="1"/>
        <w:numId w:val="2"/>
      </w:numPr>
      <w:tabs>
        <w:tab w:val="clear" w:pos="720"/>
        <w:tab w:val="num" w:pos="792"/>
      </w:tabs>
      <w:ind w:left="792" w:hanging="43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E7F07"/>
    <w:pPr>
      <w:numPr>
        <w:ilvl w:val="1"/>
        <w:numId w:val="2"/>
      </w:numPr>
      <w:tabs>
        <w:tab w:val="clear" w:pos="720"/>
        <w:tab w:val="num" w:pos="792"/>
      </w:tabs>
      <w:ind w:left="792" w:hanging="43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7F07"/>
    <w:pPr>
      <w:numPr>
        <w:ilvl w:val="1"/>
        <w:numId w:val="2"/>
      </w:numPr>
      <w:tabs>
        <w:tab w:val="clear" w:pos="720"/>
        <w:tab w:val="num" w:pos="792"/>
      </w:tabs>
      <w:ind w:left="792" w:hanging="43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7F07"/>
    <w:pPr>
      <w:numPr>
        <w:ilvl w:val="1"/>
        <w:numId w:val="2"/>
      </w:numPr>
      <w:tabs>
        <w:tab w:val="clear" w:pos="720"/>
        <w:tab w:val="num" w:pos="792"/>
      </w:tabs>
      <w:ind w:left="792" w:hanging="43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7F07"/>
    <w:pPr>
      <w:numPr>
        <w:ilvl w:val="1"/>
        <w:numId w:val="2"/>
      </w:numPr>
      <w:tabs>
        <w:tab w:val="clear" w:pos="720"/>
        <w:tab w:val="num" w:pos="792"/>
      </w:tabs>
      <w:ind w:left="792" w:hanging="43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7F07"/>
    <w:pPr>
      <w:numPr>
        <w:ilvl w:val="1"/>
        <w:numId w:val="2"/>
      </w:numPr>
      <w:tabs>
        <w:tab w:val="clear" w:pos="720"/>
        <w:tab w:val="num" w:pos="792"/>
      </w:tabs>
      <w:ind w:left="792" w:hanging="43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7F07"/>
    <w:pPr>
      <w:numPr>
        <w:ilvl w:val="1"/>
        <w:numId w:val="2"/>
      </w:numPr>
      <w:tabs>
        <w:tab w:val="clear" w:pos="720"/>
        <w:tab w:val="num" w:pos="792"/>
      </w:tabs>
      <w:ind w:left="792" w:hanging="43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7F07"/>
    <w:pPr>
      <w:numPr>
        <w:ilvl w:val="1"/>
        <w:numId w:val="2"/>
      </w:numPr>
      <w:tabs>
        <w:tab w:val="clear" w:pos="720"/>
        <w:tab w:val="num" w:pos="792"/>
      </w:tabs>
      <w:ind w:left="792" w:hanging="43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7F07"/>
    <w:pPr>
      <w:numPr>
        <w:ilvl w:val="1"/>
        <w:numId w:val="2"/>
      </w:numPr>
      <w:tabs>
        <w:tab w:val="clear" w:pos="720"/>
        <w:tab w:val="num" w:pos="792"/>
      </w:tabs>
      <w:ind w:left="792" w:hanging="43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7F07"/>
    <w:pPr>
      <w:numPr>
        <w:ilvl w:val="1"/>
        <w:numId w:val="2"/>
      </w:numPr>
      <w:tabs>
        <w:tab w:val="clear" w:pos="720"/>
        <w:tab w:val="num" w:pos="792"/>
      </w:tabs>
      <w:ind w:left="792" w:hanging="43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7F07"/>
    <w:pPr>
      <w:numPr>
        <w:ilvl w:val="1"/>
        <w:numId w:val="2"/>
      </w:numPr>
      <w:tabs>
        <w:tab w:val="clear" w:pos="720"/>
        <w:tab w:val="num" w:pos="792"/>
      </w:tabs>
      <w:ind w:left="792" w:hanging="43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7F07"/>
    <w:pPr>
      <w:numPr>
        <w:ilvl w:val="1"/>
        <w:numId w:val="2"/>
      </w:numPr>
      <w:tabs>
        <w:tab w:val="clear" w:pos="720"/>
        <w:tab w:val="num" w:pos="792"/>
      </w:tabs>
      <w:ind w:left="792" w:hanging="43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7F07"/>
    <w:pPr>
      <w:numPr>
        <w:ilvl w:val="1"/>
        <w:numId w:val="2"/>
      </w:numPr>
      <w:tabs>
        <w:tab w:val="clear" w:pos="720"/>
        <w:tab w:val="num" w:pos="792"/>
      </w:tabs>
      <w:ind w:left="792" w:hanging="43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7F07"/>
    <w:pPr>
      <w:numPr>
        <w:ilvl w:val="1"/>
        <w:numId w:val="2"/>
      </w:numPr>
      <w:tabs>
        <w:tab w:val="clear" w:pos="720"/>
        <w:tab w:val="num" w:pos="792"/>
      </w:tabs>
      <w:ind w:left="792" w:hanging="43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7F07"/>
    <w:pPr>
      <w:numPr>
        <w:ilvl w:val="1"/>
        <w:numId w:val="2"/>
      </w:numPr>
      <w:tabs>
        <w:tab w:val="clear" w:pos="720"/>
        <w:tab w:val="num" w:pos="792"/>
      </w:tabs>
      <w:ind w:left="792" w:hanging="43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7F07"/>
    <w:pPr>
      <w:numPr>
        <w:ilvl w:val="1"/>
        <w:numId w:val="2"/>
      </w:numPr>
      <w:tabs>
        <w:tab w:val="clear" w:pos="720"/>
        <w:tab w:val="num" w:pos="792"/>
      </w:tabs>
      <w:ind w:left="792" w:hanging="43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7F07"/>
    <w:pPr>
      <w:numPr>
        <w:ilvl w:val="1"/>
        <w:numId w:val="2"/>
      </w:numPr>
      <w:tabs>
        <w:tab w:val="clear" w:pos="720"/>
        <w:tab w:val="num" w:pos="792"/>
      </w:tabs>
      <w:ind w:left="792" w:hanging="43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7F07"/>
    <w:pPr>
      <w:numPr>
        <w:ilvl w:val="1"/>
        <w:numId w:val="2"/>
      </w:numPr>
      <w:tabs>
        <w:tab w:val="clear" w:pos="720"/>
        <w:tab w:val="num" w:pos="792"/>
      </w:tabs>
      <w:ind w:left="792" w:hanging="43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7F07"/>
    <w:pPr>
      <w:numPr>
        <w:ilvl w:val="1"/>
        <w:numId w:val="2"/>
      </w:numPr>
      <w:tabs>
        <w:tab w:val="clear" w:pos="720"/>
        <w:tab w:val="num" w:pos="792"/>
      </w:tabs>
      <w:ind w:left="792" w:hanging="43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7F07"/>
    <w:pPr>
      <w:numPr>
        <w:ilvl w:val="1"/>
        <w:numId w:val="2"/>
      </w:numPr>
      <w:tabs>
        <w:tab w:val="clear" w:pos="720"/>
        <w:tab w:val="num" w:pos="792"/>
      </w:tabs>
      <w:ind w:left="792" w:hanging="43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7F07"/>
    <w:pPr>
      <w:numPr>
        <w:ilvl w:val="1"/>
        <w:numId w:val="2"/>
      </w:numPr>
      <w:tabs>
        <w:tab w:val="clear" w:pos="720"/>
        <w:tab w:val="num" w:pos="792"/>
      </w:tabs>
      <w:ind w:left="792" w:hanging="43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7F07"/>
    <w:pPr>
      <w:numPr>
        <w:ilvl w:val="1"/>
        <w:numId w:val="2"/>
      </w:numPr>
      <w:tabs>
        <w:tab w:val="clear" w:pos="720"/>
        <w:tab w:val="num" w:pos="792"/>
      </w:tabs>
      <w:ind w:left="792" w:hanging="43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7F07"/>
    <w:pPr>
      <w:numPr>
        <w:ilvl w:val="1"/>
        <w:numId w:val="2"/>
      </w:numPr>
      <w:tabs>
        <w:tab w:val="clear" w:pos="720"/>
        <w:tab w:val="num" w:pos="792"/>
      </w:tabs>
      <w:ind w:left="792" w:hanging="43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7F07"/>
    <w:pPr>
      <w:numPr>
        <w:ilvl w:val="1"/>
        <w:numId w:val="2"/>
      </w:numPr>
      <w:tabs>
        <w:tab w:val="clear" w:pos="720"/>
        <w:tab w:val="num" w:pos="792"/>
      </w:tabs>
      <w:ind w:left="79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7F07"/>
    <w:pPr>
      <w:numPr>
        <w:ilvl w:val="1"/>
        <w:numId w:val="2"/>
      </w:numPr>
      <w:tabs>
        <w:tab w:val="clear" w:pos="720"/>
        <w:tab w:val="num" w:pos="792"/>
      </w:tabs>
      <w:ind w:left="792" w:hanging="43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7F07"/>
    <w:pPr>
      <w:numPr>
        <w:ilvl w:val="1"/>
        <w:numId w:val="2"/>
      </w:numPr>
      <w:tabs>
        <w:tab w:val="clear" w:pos="720"/>
        <w:tab w:val="num" w:pos="792"/>
      </w:tabs>
      <w:ind w:left="792" w:hanging="43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7F07"/>
    <w:pPr>
      <w:numPr>
        <w:ilvl w:val="1"/>
        <w:numId w:val="2"/>
      </w:numPr>
      <w:tabs>
        <w:tab w:val="clear" w:pos="720"/>
        <w:tab w:val="num" w:pos="792"/>
      </w:tabs>
      <w:ind w:left="792" w:hanging="43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262E27"/>
    <w:pPr>
      <w:numPr>
        <w:numId w:val="17"/>
      </w:numPr>
    </w:pPr>
    <w:rPr>
      <w:szCs w:val="24"/>
    </w:rPr>
  </w:style>
  <w:style w:type="paragraph" w:customStyle="1" w:styleId="FooterpageNumber">
    <w:name w:val="Footer page Number"/>
    <w:basedOn w:val="Footer"/>
    <w:rsid w:val="007E7F07"/>
    <w:pPr>
      <w:tabs>
        <w:tab w:val="clear" w:pos="9355"/>
      </w:tabs>
      <w:jc w:val="right"/>
    </w:pPr>
  </w:style>
  <w:style w:type="paragraph" w:customStyle="1" w:styleId="NoHeading2">
    <w:name w:val="No. Heading 2"/>
    <w:basedOn w:val="Heading2"/>
    <w:next w:val="BodyText"/>
    <w:rsid w:val="00262E27"/>
    <w:pPr>
      <w:numPr>
        <w:ilvl w:val="1"/>
        <w:numId w:val="17"/>
      </w:numPr>
    </w:pPr>
  </w:style>
  <w:style w:type="paragraph" w:customStyle="1" w:styleId="TableRef">
    <w:name w:val="Table Ref"/>
    <w:basedOn w:val="Normal"/>
    <w:next w:val="BodyText"/>
    <w:rsid w:val="00262E27"/>
    <w:pPr>
      <w:numPr>
        <w:ilvl w:val="4"/>
        <w:numId w:val="17"/>
      </w:numPr>
      <w:spacing w:before="120" w:after="120"/>
    </w:pPr>
    <w:rPr>
      <w:b/>
      <w:szCs w:val="18"/>
    </w:rPr>
  </w:style>
  <w:style w:type="paragraph" w:customStyle="1" w:styleId="FigureRef">
    <w:name w:val="Figure Ref"/>
    <w:basedOn w:val="TableRef"/>
    <w:next w:val="BodyText"/>
    <w:rsid w:val="00262E27"/>
    <w:pPr>
      <w:numPr>
        <w:ilvl w:val="3"/>
      </w:numPr>
    </w:pPr>
  </w:style>
  <w:style w:type="paragraph" w:customStyle="1" w:styleId="Table-Figurenotes">
    <w:name w:val="Table-Figure notes"/>
    <w:basedOn w:val="BodyText"/>
    <w:rsid w:val="007E7F07"/>
    <w:pPr>
      <w:spacing w:line="240" w:lineRule="auto"/>
      <w:contextualSpacing/>
    </w:pPr>
    <w:rPr>
      <w:sz w:val="18"/>
      <w:szCs w:val="18"/>
    </w:rPr>
  </w:style>
  <w:style w:type="paragraph" w:customStyle="1" w:styleId="DocumentDate">
    <w:name w:val="Document Date"/>
    <w:basedOn w:val="Subtitle"/>
    <w:semiHidden/>
    <w:rsid w:val="00FA69F5"/>
    <w:rPr>
      <w:color w:val="78BA2E"/>
    </w:rPr>
  </w:style>
  <w:style w:type="paragraph" w:styleId="TOC4">
    <w:name w:val="toc 4"/>
    <w:basedOn w:val="Normal"/>
    <w:next w:val="Normal"/>
    <w:rsid w:val="008C6A73"/>
    <w:pPr>
      <w:tabs>
        <w:tab w:val="left" w:pos="1134"/>
        <w:tab w:val="right" w:leader="dot" w:pos="8505"/>
      </w:tabs>
      <w:ind w:left="1134" w:right="567" w:hanging="1134"/>
    </w:pPr>
    <w:rPr>
      <w:noProof/>
    </w:rPr>
  </w:style>
  <w:style w:type="paragraph" w:customStyle="1" w:styleId="Introsentence">
    <w:name w:val="Intro sentence"/>
    <w:basedOn w:val="Normal"/>
    <w:rsid w:val="00A267AD"/>
    <w:rPr>
      <w:rFonts w:cs="Arial"/>
      <w:i/>
      <w:color w:val="78BA2E"/>
      <w:sz w:val="28"/>
      <w:szCs w:val="20"/>
    </w:rPr>
  </w:style>
  <w:style w:type="paragraph" w:customStyle="1" w:styleId="CoverDetail1">
    <w:name w:val="Cover Detail 1"/>
    <w:basedOn w:val="Heading3"/>
    <w:semiHidden/>
    <w:rsid w:val="00A267AD"/>
  </w:style>
  <w:style w:type="paragraph" w:customStyle="1" w:styleId="Disclaimer">
    <w:name w:val="Disclaimer"/>
    <w:basedOn w:val="Normal"/>
    <w:rsid w:val="00972DC0"/>
    <w:pPr>
      <w:spacing w:before="60"/>
      <w:ind w:left="567" w:right="567"/>
    </w:pPr>
    <w:rPr>
      <w:sz w:val="16"/>
      <w:lang w:eastAsia="en-US"/>
    </w:rPr>
  </w:style>
  <w:style w:type="paragraph" w:styleId="TOC5">
    <w:name w:val="toc 5"/>
    <w:basedOn w:val="TOC4"/>
    <w:next w:val="Normal"/>
    <w:rsid w:val="00A42590"/>
    <w:pPr>
      <w:tabs>
        <w:tab w:val="clear" w:pos="1134"/>
        <w:tab w:val="left" w:pos="1418"/>
      </w:tabs>
      <w:ind w:left="1418" w:hanging="1418"/>
    </w:pPr>
  </w:style>
  <w:style w:type="paragraph" w:customStyle="1" w:styleId="ListBulletWhite">
    <w:name w:val="List Bullet White"/>
    <w:basedOn w:val="Normal"/>
    <w:rsid w:val="0032197F"/>
    <w:pPr>
      <w:numPr>
        <w:numId w:val="15"/>
      </w:numPr>
      <w:spacing w:before="60" w:after="60" w:line="276" w:lineRule="auto"/>
    </w:pPr>
    <w:rPr>
      <w:color w:val="FFFFFF"/>
    </w:rPr>
  </w:style>
  <w:style w:type="paragraph" w:customStyle="1" w:styleId="TableTextRight">
    <w:name w:val="Table Text Right"/>
    <w:basedOn w:val="Normal"/>
    <w:rsid w:val="00E33ED6"/>
    <w:pPr>
      <w:spacing w:before="60" w:after="40"/>
      <w:jc w:val="right"/>
    </w:pPr>
  </w:style>
  <w:style w:type="paragraph" w:customStyle="1" w:styleId="ImprintPageText">
    <w:name w:val="Imprint Page Text"/>
    <w:basedOn w:val="Normal"/>
    <w:rsid w:val="007E7F07"/>
    <w:pPr>
      <w:spacing w:after="120" w:line="276" w:lineRule="auto"/>
    </w:pPr>
    <w:rPr>
      <w:rFonts w:cs="Arial"/>
      <w:color w:val="000000"/>
      <w:sz w:val="16"/>
      <w:szCs w:val="18"/>
    </w:r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paragraph" w:customStyle="1" w:styleId="HeadingHidden">
    <w:name w:val="Heading Hidden"/>
    <w:basedOn w:val="Heading"/>
    <w:next w:val="BodyText"/>
    <w:link w:val="HeadingHiddenChar"/>
    <w:semiHidden/>
    <w:rsid w:val="007E7F07"/>
    <w:pPr>
      <w:pageBreakBefore w:val="0"/>
    </w:pPr>
  </w:style>
  <w:style w:type="table" w:customStyle="1" w:styleId="TealHorizontalTable">
    <w:name w:val="Teal Horizontal Table"/>
    <w:basedOn w:val="TableNormal"/>
    <w:rsid w:val="00D17252"/>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table" w:customStyle="1" w:styleId="NavyGridTable">
    <w:name w:val="Navy Grid Table"/>
    <w:basedOn w:val="TableNormal"/>
    <w:rsid w:val="00E33ED6"/>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AlternatingTable">
    <w:name w:val="Navy Alternating Table"/>
    <w:basedOn w:val="TableNormal"/>
    <w:rsid w:val="004A025E"/>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paragraph" w:customStyle="1" w:styleId="NoHeading3">
    <w:name w:val="No. Heading 3"/>
    <w:basedOn w:val="Heading3"/>
    <w:next w:val="BodyText"/>
    <w:rsid w:val="00262E27"/>
    <w:pPr>
      <w:numPr>
        <w:ilvl w:val="2"/>
        <w:numId w:val="17"/>
      </w:numPr>
    </w:pPr>
  </w:style>
  <w:style w:type="table" w:customStyle="1" w:styleId="TealAlternatingTable">
    <w:name w:val="Teal Alternating Table"/>
    <w:basedOn w:val="TableNormal"/>
    <w:rsid w:val="004A025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character" w:customStyle="1" w:styleId="Heading1Char">
    <w:name w:val="Heading 1 Char"/>
    <w:basedOn w:val="DefaultParagraphFont"/>
    <w:link w:val="Heading1"/>
    <w:locked/>
    <w:rsid w:val="00486A58"/>
    <w:rPr>
      <w:rFonts w:ascii="Arial" w:hAnsi="Arial"/>
      <w:b/>
      <w:sz w:val="36"/>
      <w:szCs w:val="36"/>
    </w:rPr>
  </w:style>
  <w:style w:type="paragraph" w:customStyle="1" w:styleId="TableHeadingCentre-Black">
    <w:name w:val="Table Heading Centre - Black"/>
    <w:basedOn w:val="TableTextCentre"/>
    <w:rsid w:val="007E7F07"/>
    <w:rPr>
      <w:b/>
    </w:rPr>
  </w:style>
  <w:style w:type="paragraph" w:customStyle="1" w:styleId="TableHeadingCentre-White">
    <w:name w:val="Table Heading Centre - White"/>
    <w:basedOn w:val="TableHeadingCentre-Black"/>
    <w:rsid w:val="007E7F07"/>
    <w:rPr>
      <w:color w:val="FFFFFF"/>
    </w:rPr>
  </w:style>
  <w:style w:type="paragraph" w:customStyle="1" w:styleId="TableHeadingLeft-Black">
    <w:name w:val="Table Heading Left - Black"/>
    <w:basedOn w:val="TableTextLeft"/>
    <w:rsid w:val="007E7F07"/>
    <w:rPr>
      <w:b/>
    </w:rPr>
  </w:style>
  <w:style w:type="paragraph" w:customStyle="1" w:styleId="TableHeadingLeft-White">
    <w:name w:val="Table Heading Left - White"/>
    <w:basedOn w:val="TableHeadingLeft-Black"/>
    <w:rsid w:val="007E7F07"/>
    <w:rPr>
      <w:color w:val="FFFFFF"/>
      <w:lang w:val="en-NZ"/>
    </w:rPr>
  </w:style>
  <w:style w:type="table" w:customStyle="1" w:styleId="TealGridTable">
    <w:name w:val="Teal Grid Table"/>
    <w:basedOn w:val="TableNormal"/>
    <w:rsid w:val="00E33ED6"/>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character" w:customStyle="1" w:styleId="Heading2Char">
    <w:name w:val="Heading 2 Char"/>
    <w:basedOn w:val="DefaultParagraphFont"/>
    <w:link w:val="Heading2"/>
    <w:locked/>
    <w:rsid w:val="007C149C"/>
    <w:rPr>
      <w:color w:val="5D876F"/>
      <w:sz w:val="28"/>
      <w:szCs w:val="24"/>
    </w:rPr>
  </w:style>
  <w:style w:type="character" w:customStyle="1" w:styleId="Heading3Char">
    <w:name w:val="Heading 3 Char"/>
    <w:basedOn w:val="DefaultParagraphFont"/>
    <w:link w:val="Heading3"/>
    <w:locked/>
    <w:rsid w:val="00F41A4B"/>
    <w:rPr>
      <w:bCs/>
      <w:color w:val="5D876F"/>
      <w:sz w:val="22"/>
    </w:rPr>
  </w:style>
  <w:style w:type="character" w:customStyle="1" w:styleId="Heading4Char">
    <w:name w:val="Heading 4 Char"/>
    <w:basedOn w:val="DefaultParagraphFont"/>
    <w:link w:val="Heading4"/>
    <w:locked/>
    <w:rsid w:val="001C59F0"/>
    <w:rPr>
      <w:color w:val="5D876F"/>
      <w:sz w:val="22"/>
      <w:szCs w:val="24"/>
    </w:rPr>
  </w:style>
  <w:style w:type="character" w:customStyle="1" w:styleId="BodyTextChar">
    <w:name w:val="Body Text Char"/>
    <w:basedOn w:val="DefaultParagraphFont"/>
    <w:link w:val="BodyText"/>
    <w:uiPriority w:val="1"/>
    <w:locked/>
    <w:rsid w:val="009E57BC"/>
    <w:rPr>
      <w:rFonts w:ascii="Arial" w:hAnsi="Arial"/>
      <w:sz w:val="22"/>
      <w:szCs w:val="24"/>
      <w:lang w:val="en-AU" w:eastAsia="en-AU" w:bidi="ar-SA"/>
    </w:rPr>
  </w:style>
  <w:style w:type="paragraph" w:customStyle="1" w:styleId="TableHeadingCentre">
    <w:name w:val="Table Heading Centre"/>
    <w:basedOn w:val="TableTextCentre"/>
    <w:rsid w:val="009E57BC"/>
    <w:rPr>
      <w:b/>
    </w:rPr>
  </w:style>
  <w:style w:type="paragraph" w:customStyle="1" w:styleId="AppendixHeading1">
    <w:name w:val="Appendix Heading 1"/>
    <w:basedOn w:val="Heading"/>
    <w:next w:val="BodyText"/>
    <w:rsid w:val="00FE7DEB"/>
    <w:pPr>
      <w:numPr>
        <w:numId w:val="21"/>
      </w:numPr>
      <w:spacing w:before="200"/>
    </w:pPr>
  </w:style>
  <w:style w:type="paragraph" w:customStyle="1" w:styleId="AppendixHeading2">
    <w:name w:val="Appendix Heading 2"/>
    <w:basedOn w:val="Heading2"/>
    <w:next w:val="BodyText"/>
    <w:rsid w:val="004D4D61"/>
    <w:pPr>
      <w:spacing w:before="280" w:after="140"/>
    </w:pPr>
  </w:style>
  <w:style w:type="paragraph" w:customStyle="1" w:styleId="AppendixHeading3">
    <w:name w:val="Appendix Heading 3"/>
    <w:basedOn w:val="Heading3"/>
    <w:next w:val="BodyText"/>
    <w:rsid w:val="004D4D61"/>
    <w:pPr>
      <w:spacing w:before="240"/>
    </w:pPr>
    <w:rPr>
      <w:rFonts w:ascii="Arial Bold" w:hAnsi="Arial Bold"/>
      <w:b/>
    </w:rPr>
  </w:style>
  <w:style w:type="paragraph" w:customStyle="1" w:styleId="Bodycopy">
    <w:name w:val="Body copy"/>
    <w:basedOn w:val="HeadingHidden"/>
    <w:link w:val="BodycopyChar"/>
    <w:qFormat/>
    <w:rsid w:val="002E462E"/>
    <w:rPr>
      <w:b w:val="0"/>
      <w:noProof w:val="0"/>
      <w:sz w:val="22"/>
      <w:szCs w:val="24"/>
    </w:rPr>
  </w:style>
  <w:style w:type="character" w:customStyle="1" w:styleId="HeadingChar">
    <w:name w:val="Heading Char"/>
    <w:basedOn w:val="Heading1Char"/>
    <w:link w:val="Heading"/>
    <w:rsid w:val="00784A76"/>
    <w:rPr>
      <w:rFonts w:ascii="Arial" w:hAnsi="Arial"/>
      <w:b/>
      <w:noProof/>
      <w:color w:val="343333"/>
      <w:sz w:val="36"/>
      <w:szCs w:val="36"/>
    </w:rPr>
  </w:style>
  <w:style w:type="character" w:customStyle="1" w:styleId="HeadingHiddenChar">
    <w:name w:val="Heading Hidden Char"/>
    <w:basedOn w:val="HeadingChar"/>
    <w:link w:val="HeadingHidden"/>
    <w:semiHidden/>
    <w:rsid w:val="002E462E"/>
    <w:rPr>
      <w:rFonts w:ascii="Arial" w:hAnsi="Arial"/>
      <w:b/>
      <w:noProof/>
      <w:color w:val="B80B4D"/>
      <w:sz w:val="36"/>
      <w:szCs w:val="36"/>
    </w:rPr>
  </w:style>
  <w:style w:type="character" w:customStyle="1" w:styleId="BodycopyChar">
    <w:name w:val="Body copy Char"/>
    <w:basedOn w:val="HeadingHiddenChar"/>
    <w:link w:val="Bodycopy"/>
    <w:rsid w:val="002E462E"/>
    <w:rPr>
      <w:rFonts w:ascii="Arial" w:hAnsi="Arial"/>
      <w:b w:val="0"/>
      <w:noProof/>
      <w:color w:val="B80B4D"/>
      <w:sz w:val="22"/>
      <w:szCs w:val="24"/>
    </w:rPr>
  </w:style>
  <w:style w:type="paragraph" w:styleId="BalloonText">
    <w:name w:val="Balloon Text"/>
    <w:basedOn w:val="Normal"/>
    <w:link w:val="BalloonTextChar"/>
    <w:rsid w:val="00544192"/>
    <w:rPr>
      <w:rFonts w:ascii="Segoe UI" w:hAnsi="Segoe UI" w:cs="Segoe UI"/>
      <w:sz w:val="18"/>
      <w:szCs w:val="18"/>
    </w:rPr>
  </w:style>
  <w:style w:type="character" w:customStyle="1" w:styleId="BalloonTextChar">
    <w:name w:val="Balloon Text Char"/>
    <w:basedOn w:val="DefaultParagraphFont"/>
    <w:link w:val="BalloonText"/>
    <w:rsid w:val="00544192"/>
    <w:rPr>
      <w:rFonts w:ascii="Segoe UI" w:hAnsi="Segoe UI" w:cs="Segoe UI"/>
      <w:sz w:val="18"/>
      <w:szCs w:val="18"/>
    </w:rPr>
  </w:style>
  <w:style w:type="paragraph" w:customStyle="1" w:styleId="Bullets1">
    <w:name w:val="Bullets 1"/>
    <w:basedOn w:val="ListParagraph"/>
    <w:link w:val="Bullets1Char"/>
    <w:qFormat/>
    <w:rsid w:val="0079524A"/>
    <w:pPr>
      <w:numPr>
        <w:numId w:val="22"/>
      </w:numPr>
      <w:spacing w:before="0" w:after="120" w:line="264" w:lineRule="auto"/>
      <w:ind w:left="426" w:hanging="284"/>
    </w:pPr>
    <w:rPr>
      <w:rFonts w:eastAsiaTheme="majorEastAsia" w:cstheme="minorBidi"/>
      <w:szCs w:val="21"/>
      <w:lang w:eastAsia="en-US"/>
    </w:rPr>
  </w:style>
  <w:style w:type="character" w:customStyle="1" w:styleId="Bullets1Char">
    <w:name w:val="Bullets 1 Char"/>
    <w:basedOn w:val="DefaultParagraphFont"/>
    <w:link w:val="Bullets1"/>
    <w:rsid w:val="0079524A"/>
    <w:rPr>
      <w:rFonts w:asciiTheme="minorHAnsi" w:eastAsiaTheme="majorEastAsia" w:hAnsiTheme="minorHAnsi" w:cstheme="minorBidi"/>
      <w:szCs w:val="21"/>
      <w:lang w:eastAsia="en-US"/>
    </w:rPr>
  </w:style>
  <w:style w:type="paragraph" w:customStyle="1" w:styleId="Bullets2">
    <w:name w:val="Bullets 2"/>
    <w:basedOn w:val="Bullets1"/>
    <w:link w:val="Bullets2Char"/>
    <w:qFormat/>
    <w:rsid w:val="0079524A"/>
    <w:pPr>
      <w:numPr>
        <w:ilvl w:val="1"/>
      </w:numPr>
      <w:tabs>
        <w:tab w:val="num" w:pos="360"/>
        <w:tab w:val="num" w:pos="567"/>
      </w:tabs>
      <w:ind w:left="709" w:hanging="283"/>
    </w:pPr>
  </w:style>
  <w:style w:type="paragraph" w:customStyle="1" w:styleId="PSCHeading1">
    <w:name w:val="PSC Heading #1"/>
    <w:basedOn w:val="Heading1"/>
    <w:qFormat/>
    <w:rsid w:val="0079524A"/>
    <w:pPr>
      <w:keepLines/>
      <w:pBdr>
        <w:bottom w:val="single" w:sz="48" w:space="8" w:color="5B9BD5" w:themeColor="accent1"/>
      </w:pBdr>
      <w:spacing w:before="400"/>
    </w:pPr>
    <w:rPr>
      <w:rFonts w:eastAsiaTheme="majorEastAsia" w:cstheme="majorBidi"/>
      <w:lang w:eastAsia="en-US"/>
    </w:rPr>
  </w:style>
  <w:style w:type="character" w:customStyle="1" w:styleId="Bullets2Char">
    <w:name w:val="Bullets 2 Char"/>
    <w:basedOn w:val="Bullets1Char"/>
    <w:link w:val="Bullets2"/>
    <w:rsid w:val="00DB060E"/>
    <w:rPr>
      <w:rFonts w:asciiTheme="minorHAnsi" w:eastAsiaTheme="majorEastAsia" w:hAnsiTheme="minorHAnsi" w:cstheme="minorBidi"/>
      <w:szCs w:val="21"/>
      <w:lang w:eastAsia="en-US"/>
    </w:rPr>
  </w:style>
  <w:style w:type="paragraph" w:customStyle="1" w:styleId="Default">
    <w:name w:val="Default"/>
    <w:rsid w:val="00DB060E"/>
    <w:pPr>
      <w:autoSpaceDE w:val="0"/>
      <w:autoSpaceDN w:val="0"/>
      <w:adjustRightInd w:val="0"/>
    </w:pPr>
    <w:rPr>
      <w:rFonts w:ascii="MetaPro-Light" w:eastAsiaTheme="minorEastAsia" w:hAnsi="MetaPro-Light" w:cs="MetaPro-Light"/>
      <w:color w:val="000000"/>
      <w:sz w:val="24"/>
      <w:szCs w:val="24"/>
      <w:lang w:val="en-US" w:eastAsia="en-US"/>
    </w:rPr>
  </w:style>
  <w:style w:type="character" w:customStyle="1" w:styleId="A4">
    <w:name w:val="A4"/>
    <w:uiPriority w:val="99"/>
    <w:rsid w:val="00DB060E"/>
    <w:rPr>
      <w:rFonts w:cs="MetaPro-Light"/>
      <w:color w:val="221E1F"/>
    </w:rPr>
  </w:style>
  <w:style w:type="character" w:customStyle="1" w:styleId="ListParagraphChar">
    <w:name w:val="List Paragraph Char"/>
    <w:basedOn w:val="DefaultParagraphFont"/>
    <w:link w:val="ListParagraph"/>
    <w:uiPriority w:val="34"/>
    <w:rsid w:val="0037081A"/>
    <w:rPr>
      <w:rFonts w:asciiTheme="minorHAnsi" w:hAnsiTheme="minorHAnsi"/>
      <w:szCs w:val="24"/>
    </w:rPr>
  </w:style>
  <w:style w:type="paragraph" w:customStyle="1" w:styleId="PSCHeading2">
    <w:name w:val="PSC Heading #2"/>
    <w:basedOn w:val="Heading2"/>
    <w:qFormat/>
    <w:rsid w:val="00C41BA6"/>
    <w:pPr>
      <w:keepLines/>
      <w:spacing w:before="280"/>
    </w:pPr>
    <w:rPr>
      <w:rFonts w:eastAsiaTheme="majorEastAsia" w:cstheme="majorBidi"/>
      <w:color w:val="FFC000" w:themeColor="accent4"/>
      <w:szCs w:val="28"/>
      <w:lang w:eastAsia="en-US"/>
    </w:rPr>
  </w:style>
  <w:style w:type="paragraph" w:customStyle="1" w:styleId="PSCHeading3">
    <w:name w:val="PSC Heading #3"/>
    <w:basedOn w:val="Heading3"/>
    <w:qFormat/>
    <w:rsid w:val="00C41BA6"/>
    <w:pPr>
      <w:keepLines/>
    </w:pPr>
    <w:rPr>
      <w:rFonts w:eastAsiaTheme="majorEastAsia" w:cstheme="majorBidi"/>
      <w:bCs w:val="0"/>
      <w:color w:val="auto"/>
      <w:lang w:eastAsia="en-US"/>
    </w:rPr>
  </w:style>
  <w:style w:type="paragraph" w:customStyle="1" w:styleId="TableParagraph">
    <w:name w:val="Table Paragraph"/>
    <w:basedOn w:val="Normal"/>
    <w:uiPriority w:val="1"/>
    <w:qFormat/>
    <w:rsid w:val="00AB1293"/>
    <w:pPr>
      <w:widowControl w:val="0"/>
      <w:autoSpaceDE w:val="0"/>
      <w:autoSpaceDN w:val="0"/>
      <w:spacing w:before="44"/>
      <w:jc w:val="right"/>
    </w:pPr>
    <w:rPr>
      <w:rFonts w:eastAsia="Arial" w:cs="Arial"/>
      <w:szCs w:val="22"/>
      <w:lang w:val="en-US" w:eastAsia="en-US"/>
    </w:rPr>
  </w:style>
  <w:style w:type="character" w:customStyle="1" w:styleId="FooterChar">
    <w:name w:val="Footer Char"/>
    <w:basedOn w:val="DefaultParagraphFont"/>
    <w:link w:val="Footer"/>
    <w:uiPriority w:val="99"/>
    <w:rsid w:val="001F144E"/>
    <w:rPr>
      <w:rFonts w:ascii="Arial" w:hAnsi="Arial"/>
      <w:b/>
      <w:color w:val="635D63"/>
      <w:sz w:val="18"/>
      <w:szCs w:val="18"/>
    </w:rPr>
  </w:style>
  <w:style w:type="paragraph" w:customStyle="1" w:styleId="msotagline">
    <w:name w:val="msotagline"/>
    <w:rsid w:val="00B54CB9"/>
    <w:rPr>
      <w:rFonts w:ascii="Garamond" w:hAnsi="Garamond"/>
      <w:i/>
      <w:iCs/>
      <w:color w:val="676A55"/>
      <w:spacing w:val="10"/>
      <w:kern w:val="28"/>
      <w:sz w:val="25"/>
      <w:szCs w:val="25"/>
      <w:lang w:val="en-US" w:eastAsia="en-US"/>
      <w14:ligatures w14:val="standard"/>
      <w14:cntxtAlts/>
    </w:rPr>
  </w:style>
  <w:style w:type="character" w:styleId="UnresolvedMention">
    <w:name w:val="Unresolved Mention"/>
    <w:basedOn w:val="DefaultParagraphFont"/>
    <w:uiPriority w:val="99"/>
    <w:semiHidden/>
    <w:unhideWhenUsed/>
    <w:rsid w:val="00576CF7"/>
    <w:rPr>
      <w:color w:val="605E5C"/>
      <w:shd w:val="clear" w:color="auto" w:fill="E1DFDD"/>
    </w:rPr>
  </w:style>
  <w:style w:type="paragraph" w:styleId="TOCHeading">
    <w:name w:val="TOC Heading"/>
    <w:basedOn w:val="Heading1"/>
    <w:next w:val="Normal"/>
    <w:uiPriority w:val="39"/>
    <w:unhideWhenUsed/>
    <w:qFormat/>
    <w:rsid w:val="00830BCA"/>
    <w:pPr>
      <w:keepLines/>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msoaccenttext2">
    <w:name w:val="msoaccenttext2"/>
    <w:rsid w:val="00601BED"/>
    <w:pPr>
      <w:spacing w:before="60" w:after="60" w:line="276" w:lineRule="auto"/>
    </w:pPr>
    <w:rPr>
      <w:rFonts w:ascii="Calibri Light" w:hAnsi="Calibri Light" w:cs="Calibri Light"/>
      <w:color w:val="000000"/>
      <w:kern w:val="28"/>
      <w:lang w:val="en-US" w:eastAsia="en-US"/>
      <w14:ligatures w14:val="standard"/>
      <w14:cntxtAlts/>
    </w:rPr>
  </w:style>
  <w:style w:type="paragraph" w:styleId="FootnoteText">
    <w:name w:val="footnote text"/>
    <w:basedOn w:val="Normal"/>
    <w:link w:val="FootnoteTextChar"/>
    <w:unhideWhenUsed/>
    <w:rsid w:val="00B4030B"/>
    <w:rPr>
      <w:rFonts w:eastAsiaTheme="minorHAnsi" w:cstheme="minorBidi"/>
      <w:szCs w:val="20"/>
      <w:lang w:eastAsia="en-US"/>
    </w:rPr>
  </w:style>
  <w:style w:type="character" w:customStyle="1" w:styleId="FootnoteTextChar">
    <w:name w:val="Footnote Text Char"/>
    <w:basedOn w:val="DefaultParagraphFont"/>
    <w:link w:val="FootnoteText"/>
    <w:rsid w:val="00B4030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B4030B"/>
    <w:rPr>
      <w:vertAlign w:val="superscript"/>
    </w:rPr>
  </w:style>
  <w:style w:type="character" w:customStyle="1" w:styleId="Heading5Char">
    <w:name w:val="Heading 5 Char"/>
    <w:basedOn w:val="DefaultParagraphFont"/>
    <w:link w:val="Heading5"/>
    <w:uiPriority w:val="9"/>
    <w:rsid w:val="009268AD"/>
    <w:rPr>
      <w:rFonts w:ascii="Arial" w:hAnsi="Arial"/>
      <w:b/>
      <w:sz w:val="22"/>
      <w:szCs w:val="24"/>
    </w:rPr>
  </w:style>
  <w:style w:type="paragraph" w:customStyle="1" w:styleId="Style1">
    <w:name w:val="Style1"/>
    <w:basedOn w:val="Normal"/>
    <w:link w:val="Style1Char"/>
    <w:autoRedefine/>
    <w:qFormat/>
    <w:rsid w:val="00EB6567"/>
    <w:pPr>
      <w:spacing w:line="276" w:lineRule="auto"/>
    </w:pPr>
    <w:rPr>
      <w:rFonts w:ascii="Times New Roman" w:hAnsi="Times New Roman"/>
      <w:szCs w:val="20"/>
    </w:rPr>
  </w:style>
  <w:style w:type="character" w:customStyle="1" w:styleId="Style1Char">
    <w:name w:val="Style1 Char"/>
    <w:basedOn w:val="DefaultParagraphFont"/>
    <w:link w:val="Style1"/>
    <w:rsid w:val="00EB6567"/>
  </w:style>
  <w:style w:type="character" w:styleId="CommentReference">
    <w:name w:val="annotation reference"/>
    <w:basedOn w:val="DefaultParagraphFont"/>
    <w:rsid w:val="000E7CF2"/>
    <w:rPr>
      <w:sz w:val="16"/>
      <w:szCs w:val="16"/>
    </w:rPr>
  </w:style>
  <w:style w:type="paragraph" w:styleId="CommentText">
    <w:name w:val="annotation text"/>
    <w:basedOn w:val="Normal"/>
    <w:link w:val="CommentTextChar"/>
    <w:rsid w:val="000E7CF2"/>
    <w:rPr>
      <w:szCs w:val="20"/>
    </w:rPr>
  </w:style>
  <w:style w:type="character" w:customStyle="1" w:styleId="CommentTextChar">
    <w:name w:val="Comment Text Char"/>
    <w:basedOn w:val="DefaultParagraphFont"/>
    <w:link w:val="CommentText"/>
    <w:rsid w:val="000E7CF2"/>
    <w:rPr>
      <w:rFonts w:asciiTheme="minorHAnsi" w:hAnsiTheme="minorHAnsi"/>
    </w:rPr>
  </w:style>
  <w:style w:type="paragraph" w:styleId="CommentSubject">
    <w:name w:val="annotation subject"/>
    <w:basedOn w:val="CommentText"/>
    <w:next w:val="CommentText"/>
    <w:link w:val="CommentSubjectChar"/>
    <w:semiHidden/>
    <w:unhideWhenUsed/>
    <w:rsid w:val="000E7CF2"/>
    <w:rPr>
      <w:b/>
      <w:bCs/>
    </w:rPr>
  </w:style>
  <w:style w:type="character" w:customStyle="1" w:styleId="CommentSubjectChar">
    <w:name w:val="Comment Subject Char"/>
    <w:basedOn w:val="CommentTextChar"/>
    <w:link w:val="CommentSubject"/>
    <w:semiHidden/>
    <w:rsid w:val="000E7CF2"/>
    <w:rPr>
      <w:rFonts w:asciiTheme="minorHAnsi" w:hAnsiTheme="minorHAnsi"/>
      <w:b/>
      <w:bCs/>
    </w:rPr>
  </w:style>
  <w:style w:type="paragraph" w:customStyle="1" w:styleId="msoorganizationname">
    <w:name w:val="msoorganizationname"/>
    <w:rsid w:val="00814FB3"/>
    <w:rPr>
      <w:rFonts w:ascii="Gill Sans MT" w:hAnsi="Gill Sans MT"/>
      <w:b/>
      <w:bCs/>
      <w:caps/>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039">
      <w:bodyDiv w:val="1"/>
      <w:marLeft w:val="0"/>
      <w:marRight w:val="0"/>
      <w:marTop w:val="0"/>
      <w:marBottom w:val="0"/>
      <w:divBdr>
        <w:top w:val="none" w:sz="0" w:space="0" w:color="auto"/>
        <w:left w:val="none" w:sz="0" w:space="0" w:color="auto"/>
        <w:bottom w:val="none" w:sz="0" w:space="0" w:color="auto"/>
        <w:right w:val="none" w:sz="0" w:space="0" w:color="auto"/>
      </w:divBdr>
    </w:div>
    <w:div w:id="143282290">
      <w:bodyDiv w:val="1"/>
      <w:marLeft w:val="0"/>
      <w:marRight w:val="0"/>
      <w:marTop w:val="0"/>
      <w:marBottom w:val="0"/>
      <w:divBdr>
        <w:top w:val="none" w:sz="0" w:space="0" w:color="auto"/>
        <w:left w:val="none" w:sz="0" w:space="0" w:color="auto"/>
        <w:bottom w:val="none" w:sz="0" w:space="0" w:color="auto"/>
        <w:right w:val="none" w:sz="0" w:space="0" w:color="auto"/>
      </w:divBdr>
    </w:div>
    <w:div w:id="168719187">
      <w:bodyDiv w:val="1"/>
      <w:marLeft w:val="0"/>
      <w:marRight w:val="0"/>
      <w:marTop w:val="0"/>
      <w:marBottom w:val="0"/>
      <w:divBdr>
        <w:top w:val="none" w:sz="0" w:space="0" w:color="auto"/>
        <w:left w:val="none" w:sz="0" w:space="0" w:color="auto"/>
        <w:bottom w:val="none" w:sz="0" w:space="0" w:color="auto"/>
        <w:right w:val="none" w:sz="0" w:space="0" w:color="auto"/>
      </w:divBdr>
    </w:div>
    <w:div w:id="308024960">
      <w:bodyDiv w:val="1"/>
      <w:marLeft w:val="0"/>
      <w:marRight w:val="0"/>
      <w:marTop w:val="0"/>
      <w:marBottom w:val="0"/>
      <w:divBdr>
        <w:top w:val="none" w:sz="0" w:space="0" w:color="auto"/>
        <w:left w:val="none" w:sz="0" w:space="0" w:color="auto"/>
        <w:bottom w:val="none" w:sz="0" w:space="0" w:color="auto"/>
        <w:right w:val="none" w:sz="0" w:space="0" w:color="auto"/>
      </w:divBdr>
    </w:div>
    <w:div w:id="322243309">
      <w:bodyDiv w:val="1"/>
      <w:marLeft w:val="0"/>
      <w:marRight w:val="0"/>
      <w:marTop w:val="0"/>
      <w:marBottom w:val="0"/>
      <w:divBdr>
        <w:top w:val="none" w:sz="0" w:space="0" w:color="auto"/>
        <w:left w:val="none" w:sz="0" w:space="0" w:color="auto"/>
        <w:bottom w:val="none" w:sz="0" w:space="0" w:color="auto"/>
        <w:right w:val="none" w:sz="0" w:space="0" w:color="auto"/>
      </w:divBdr>
    </w:div>
    <w:div w:id="477385278">
      <w:bodyDiv w:val="1"/>
      <w:marLeft w:val="0"/>
      <w:marRight w:val="0"/>
      <w:marTop w:val="0"/>
      <w:marBottom w:val="0"/>
      <w:divBdr>
        <w:top w:val="none" w:sz="0" w:space="0" w:color="auto"/>
        <w:left w:val="none" w:sz="0" w:space="0" w:color="auto"/>
        <w:bottom w:val="none" w:sz="0" w:space="0" w:color="auto"/>
        <w:right w:val="none" w:sz="0" w:space="0" w:color="auto"/>
      </w:divBdr>
      <w:divsChild>
        <w:div w:id="960189886">
          <w:marLeft w:val="360"/>
          <w:marRight w:val="0"/>
          <w:marTop w:val="200"/>
          <w:marBottom w:val="0"/>
          <w:divBdr>
            <w:top w:val="none" w:sz="0" w:space="0" w:color="auto"/>
            <w:left w:val="none" w:sz="0" w:space="0" w:color="auto"/>
            <w:bottom w:val="none" w:sz="0" w:space="0" w:color="auto"/>
            <w:right w:val="none" w:sz="0" w:space="0" w:color="auto"/>
          </w:divBdr>
        </w:div>
        <w:div w:id="433937804">
          <w:marLeft w:val="360"/>
          <w:marRight w:val="0"/>
          <w:marTop w:val="200"/>
          <w:marBottom w:val="0"/>
          <w:divBdr>
            <w:top w:val="none" w:sz="0" w:space="0" w:color="auto"/>
            <w:left w:val="none" w:sz="0" w:space="0" w:color="auto"/>
            <w:bottom w:val="none" w:sz="0" w:space="0" w:color="auto"/>
            <w:right w:val="none" w:sz="0" w:space="0" w:color="auto"/>
          </w:divBdr>
        </w:div>
        <w:div w:id="368531106">
          <w:marLeft w:val="360"/>
          <w:marRight w:val="0"/>
          <w:marTop w:val="200"/>
          <w:marBottom w:val="0"/>
          <w:divBdr>
            <w:top w:val="none" w:sz="0" w:space="0" w:color="auto"/>
            <w:left w:val="none" w:sz="0" w:space="0" w:color="auto"/>
            <w:bottom w:val="none" w:sz="0" w:space="0" w:color="auto"/>
            <w:right w:val="none" w:sz="0" w:space="0" w:color="auto"/>
          </w:divBdr>
        </w:div>
        <w:div w:id="1950702352">
          <w:marLeft w:val="360"/>
          <w:marRight w:val="0"/>
          <w:marTop w:val="200"/>
          <w:marBottom w:val="0"/>
          <w:divBdr>
            <w:top w:val="none" w:sz="0" w:space="0" w:color="auto"/>
            <w:left w:val="none" w:sz="0" w:space="0" w:color="auto"/>
            <w:bottom w:val="none" w:sz="0" w:space="0" w:color="auto"/>
            <w:right w:val="none" w:sz="0" w:space="0" w:color="auto"/>
          </w:divBdr>
        </w:div>
        <w:div w:id="459423118">
          <w:marLeft w:val="360"/>
          <w:marRight w:val="0"/>
          <w:marTop w:val="200"/>
          <w:marBottom w:val="0"/>
          <w:divBdr>
            <w:top w:val="none" w:sz="0" w:space="0" w:color="auto"/>
            <w:left w:val="none" w:sz="0" w:space="0" w:color="auto"/>
            <w:bottom w:val="none" w:sz="0" w:space="0" w:color="auto"/>
            <w:right w:val="none" w:sz="0" w:space="0" w:color="auto"/>
          </w:divBdr>
        </w:div>
        <w:div w:id="512570899">
          <w:marLeft w:val="360"/>
          <w:marRight w:val="0"/>
          <w:marTop w:val="200"/>
          <w:marBottom w:val="0"/>
          <w:divBdr>
            <w:top w:val="none" w:sz="0" w:space="0" w:color="auto"/>
            <w:left w:val="none" w:sz="0" w:space="0" w:color="auto"/>
            <w:bottom w:val="none" w:sz="0" w:space="0" w:color="auto"/>
            <w:right w:val="none" w:sz="0" w:space="0" w:color="auto"/>
          </w:divBdr>
        </w:div>
      </w:divsChild>
    </w:div>
    <w:div w:id="601112093">
      <w:bodyDiv w:val="1"/>
      <w:marLeft w:val="0"/>
      <w:marRight w:val="0"/>
      <w:marTop w:val="0"/>
      <w:marBottom w:val="0"/>
      <w:divBdr>
        <w:top w:val="none" w:sz="0" w:space="0" w:color="auto"/>
        <w:left w:val="none" w:sz="0" w:space="0" w:color="auto"/>
        <w:bottom w:val="none" w:sz="0" w:space="0" w:color="auto"/>
        <w:right w:val="none" w:sz="0" w:space="0" w:color="auto"/>
      </w:divBdr>
    </w:div>
    <w:div w:id="713163836">
      <w:bodyDiv w:val="1"/>
      <w:marLeft w:val="0"/>
      <w:marRight w:val="0"/>
      <w:marTop w:val="0"/>
      <w:marBottom w:val="0"/>
      <w:divBdr>
        <w:top w:val="none" w:sz="0" w:space="0" w:color="auto"/>
        <w:left w:val="none" w:sz="0" w:space="0" w:color="auto"/>
        <w:bottom w:val="none" w:sz="0" w:space="0" w:color="auto"/>
        <w:right w:val="none" w:sz="0" w:space="0" w:color="auto"/>
      </w:divBdr>
    </w:div>
    <w:div w:id="740638392">
      <w:bodyDiv w:val="1"/>
      <w:marLeft w:val="0"/>
      <w:marRight w:val="0"/>
      <w:marTop w:val="0"/>
      <w:marBottom w:val="0"/>
      <w:divBdr>
        <w:top w:val="none" w:sz="0" w:space="0" w:color="auto"/>
        <w:left w:val="none" w:sz="0" w:space="0" w:color="auto"/>
        <w:bottom w:val="none" w:sz="0" w:space="0" w:color="auto"/>
        <w:right w:val="none" w:sz="0" w:space="0" w:color="auto"/>
      </w:divBdr>
    </w:div>
    <w:div w:id="745493082">
      <w:bodyDiv w:val="1"/>
      <w:marLeft w:val="0"/>
      <w:marRight w:val="0"/>
      <w:marTop w:val="0"/>
      <w:marBottom w:val="0"/>
      <w:divBdr>
        <w:top w:val="none" w:sz="0" w:space="0" w:color="auto"/>
        <w:left w:val="none" w:sz="0" w:space="0" w:color="auto"/>
        <w:bottom w:val="none" w:sz="0" w:space="0" w:color="auto"/>
        <w:right w:val="none" w:sz="0" w:space="0" w:color="auto"/>
      </w:divBdr>
    </w:div>
    <w:div w:id="825971551">
      <w:bodyDiv w:val="1"/>
      <w:marLeft w:val="0"/>
      <w:marRight w:val="0"/>
      <w:marTop w:val="0"/>
      <w:marBottom w:val="0"/>
      <w:divBdr>
        <w:top w:val="none" w:sz="0" w:space="0" w:color="auto"/>
        <w:left w:val="none" w:sz="0" w:space="0" w:color="auto"/>
        <w:bottom w:val="none" w:sz="0" w:space="0" w:color="auto"/>
        <w:right w:val="none" w:sz="0" w:space="0" w:color="auto"/>
      </w:divBdr>
    </w:div>
    <w:div w:id="988051434">
      <w:bodyDiv w:val="1"/>
      <w:marLeft w:val="0"/>
      <w:marRight w:val="0"/>
      <w:marTop w:val="0"/>
      <w:marBottom w:val="0"/>
      <w:divBdr>
        <w:top w:val="none" w:sz="0" w:space="0" w:color="auto"/>
        <w:left w:val="none" w:sz="0" w:space="0" w:color="auto"/>
        <w:bottom w:val="none" w:sz="0" w:space="0" w:color="auto"/>
        <w:right w:val="none" w:sz="0" w:space="0" w:color="auto"/>
      </w:divBdr>
    </w:div>
    <w:div w:id="1092893979">
      <w:bodyDiv w:val="1"/>
      <w:marLeft w:val="0"/>
      <w:marRight w:val="0"/>
      <w:marTop w:val="0"/>
      <w:marBottom w:val="0"/>
      <w:divBdr>
        <w:top w:val="none" w:sz="0" w:space="0" w:color="auto"/>
        <w:left w:val="none" w:sz="0" w:space="0" w:color="auto"/>
        <w:bottom w:val="none" w:sz="0" w:space="0" w:color="auto"/>
        <w:right w:val="none" w:sz="0" w:space="0" w:color="auto"/>
      </w:divBdr>
    </w:div>
    <w:div w:id="1167554386">
      <w:bodyDiv w:val="1"/>
      <w:marLeft w:val="0"/>
      <w:marRight w:val="0"/>
      <w:marTop w:val="0"/>
      <w:marBottom w:val="0"/>
      <w:divBdr>
        <w:top w:val="none" w:sz="0" w:space="0" w:color="auto"/>
        <w:left w:val="none" w:sz="0" w:space="0" w:color="auto"/>
        <w:bottom w:val="none" w:sz="0" w:space="0" w:color="auto"/>
        <w:right w:val="none" w:sz="0" w:space="0" w:color="auto"/>
      </w:divBdr>
    </w:div>
    <w:div w:id="1245262639">
      <w:bodyDiv w:val="1"/>
      <w:marLeft w:val="0"/>
      <w:marRight w:val="0"/>
      <w:marTop w:val="0"/>
      <w:marBottom w:val="0"/>
      <w:divBdr>
        <w:top w:val="none" w:sz="0" w:space="0" w:color="auto"/>
        <w:left w:val="none" w:sz="0" w:space="0" w:color="auto"/>
        <w:bottom w:val="none" w:sz="0" w:space="0" w:color="auto"/>
        <w:right w:val="none" w:sz="0" w:space="0" w:color="auto"/>
      </w:divBdr>
    </w:div>
    <w:div w:id="1261568632">
      <w:bodyDiv w:val="1"/>
      <w:marLeft w:val="0"/>
      <w:marRight w:val="0"/>
      <w:marTop w:val="0"/>
      <w:marBottom w:val="0"/>
      <w:divBdr>
        <w:top w:val="none" w:sz="0" w:space="0" w:color="auto"/>
        <w:left w:val="none" w:sz="0" w:space="0" w:color="auto"/>
        <w:bottom w:val="none" w:sz="0" w:space="0" w:color="auto"/>
        <w:right w:val="none" w:sz="0" w:space="0" w:color="auto"/>
      </w:divBdr>
    </w:div>
    <w:div w:id="1380472318">
      <w:bodyDiv w:val="1"/>
      <w:marLeft w:val="0"/>
      <w:marRight w:val="0"/>
      <w:marTop w:val="0"/>
      <w:marBottom w:val="0"/>
      <w:divBdr>
        <w:top w:val="none" w:sz="0" w:space="0" w:color="auto"/>
        <w:left w:val="none" w:sz="0" w:space="0" w:color="auto"/>
        <w:bottom w:val="none" w:sz="0" w:space="0" w:color="auto"/>
        <w:right w:val="none" w:sz="0" w:space="0" w:color="auto"/>
      </w:divBdr>
    </w:div>
    <w:div w:id="1632321970">
      <w:bodyDiv w:val="1"/>
      <w:marLeft w:val="0"/>
      <w:marRight w:val="0"/>
      <w:marTop w:val="0"/>
      <w:marBottom w:val="0"/>
      <w:divBdr>
        <w:top w:val="none" w:sz="0" w:space="0" w:color="auto"/>
        <w:left w:val="none" w:sz="0" w:space="0" w:color="auto"/>
        <w:bottom w:val="none" w:sz="0" w:space="0" w:color="auto"/>
        <w:right w:val="none" w:sz="0" w:space="0" w:color="auto"/>
      </w:divBdr>
    </w:div>
    <w:div w:id="1704095858">
      <w:bodyDiv w:val="1"/>
      <w:marLeft w:val="0"/>
      <w:marRight w:val="0"/>
      <w:marTop w:val="0"/>
      <w:marBottom w:val="0"/>
      <w:divBdr>
        <w:top w:val="none" w:sz="0" w:space="0" w:color="auto"/>
        <w:left w:val="none" w:sz="0" w:space="0" w:color="auto"/>
        <w:bottom w:val="none" w:sz="0" w:space="0" w:color="auto"/>
        <w:right w:val="none" w:sz="0" w:space="0" w:color="auto"/>
      </w:divBdr>
    </w:div>
    <w:div w:id="1730494718">
      <w:bodyDiv w:val="1"/>
      <w:marLeft w:val="0"/>
      <w:marRight w:val="0"/>
      <w:marTop w:val="0"/>
      <w:marBottom w:val="0"/>
      <w:divBdr>
        <w:top w:val="none" w:sz="0" w:space="0" w:color="auto"/>
        <w:left w:val="none" w:sz="0" w:space="0" w:color="auto"/>
        <w:bottom w:val="none" w:sz="0" w:space="0" w:color="auto"/>
        <w:right w:val="none" w:sz="0" w:space="0" w:color="auto"/>
      </w:divBdr>
    </w:div>
    <w:div w:id="1877310209">
      <w:bodyDiv w:val="1"/>
      <w:marLeft w:val="0"/>
      <w:marRight w:val="0"/>
      <w:marTop w:val="0"/>
      <w:marBottom w:val="0"/>
      <w:divBdr>
        <w:top w:val="none" w:sz="0" w:space="0" w:color="auto"/>
        <w:left w:val="none" w:sz="0" w:space="0" w:color="auto"/>
        <w:bottom w:val="none" w:sz="0" w:space="0" w:color="auto"/>
        <w:right w:val="none" w:sz="0" w:space="0" w:color="auto"/>
      </w:divBdr>
    </w:div>
    <w:div w:id="1951473771">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1968970312">
      <w:bodyDiv w:val="1"/>
      <w:marLeft w:val="0"/>
      <w:marRight w:val="0"/>
      <w:marTop w:val="0"/>
      <w:marBottom w:val="0"/>
      <w:divBdr>
        <w:top w:val="none" w:sz="0" w:space="0" w:color="auto"/>
        <w:left w:val="none" w:sz="0" w:space="0" w:color="auto"/>
        <w:bottom w:val="none" w:sz="0" w:space="0" w:color="auto"/>
        <w:right w:val="none" w:sz="0" w:space="0" w:color="auto"/>
      </w:divBdr>
    </w:div>
    <w:div w:id="1986540753">
      <w:bodyDiv w:val="1"/>
      <w:marLeft w:val="0"/>
      <w:marRight w:val="0"/>
      <w:marTop w:val="0"/>
      <w:marBottom w:val="0"/>
      <w:divBdr>
        <w:top w:val="none" w:sz="0" w:space="0" w:color="auto"/>
        <w:left w:val="none" w:sz="0" w:space="0" w:color="auto"/>
        <w:bottom w:val="none" w:sz="0" w:space="0" w:color="auto"/>
        <w:right w:val="none" w:sz="0" w:space="0" w:color="auto"/>
      </w:divBdr>
    </w:div>
    <w:div w:id="1990278625">
      <w:bodyDiv w:val="1"/>
      <w:marLeft w:val="0"/>
      <w:marRight w:val="0"/>
      <w:marTop w:val="0"/>
      <w:marBottom w:val="0"/>
      <w:divBdr>
        <w:top w:val="none" w:sz="0" w:space="0" w:color="auto"/>
        <w:left w:val="none" w:sz="0" w:space="0" w:color="auto"/>
        <w:bottom w:val="none" w:sz="0" w:space="0" w:color="auto"/>
        <w:right w:val="none" w:sz="0" w:space="0" w:color="auto"/>
      </w:divBdr>
    </w:div>
    <w:div w:id="1991135785">
      <w:bodyDiv w:val="1"/>
      <w:marLeft w:val="0"/>
      <w:marRight w:val="0"/>
      <w:marTop w:val="0"/>
      <w:marBottom w:val="0"/>
      <w:divBdr>
        <w:top w:val="none" w:sz="0" w:space="0" w:color="auto"/>
        <w:left w:val="none" w:sz="0" w:space="0" w:color="auto"/>
        <w:bottom w:val="none" w:sz="0" w:space="0" w:color="auto"/>
        <w:right w:val="none" w:sz="0" w:space="0" w:color="auto"/>
      </w:divBdr>
    </w:div>
    <w:div w:id="20398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reativecommons.org/licenses/by/4.0/" TargetMode="External"/><Relationship Id="rId26" Type="http://schemas.openxmlformats.org/officeDocument/2006/relationships/image" Target="media/image10.png"/><Relationship Id="rId39" Type="http://schemas.openxmlformats.org/officeDocument/2006/relationships/image" Target="media/image22.svg"/><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hyperlink" Target="https://www.integrity.qld.gov.au/lobbyists/lobbying-questions-answers.asp" TargetMode="External"/><Relationship Id="rId50" Type="http://schemas.openxmlformats.org/officeDocument/2006/relationships/hyperlink" Target="http://www.archives.qld.gov.au"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ntegrity.qld.gov.au" TargetMode="External"/><Relationship Id="rId25" Type="http://schemas.openxmlformats.org/officeDocument/2006/relationships/image" Target="media/image9.png"/><Relationship Id="rId33" Type="http://schemas.openxmlformats.org/officeDocument/2006/relationships/image" Target="media/image16.svg"/><Relationship Id="rId38" Type="http://schemas.openxmlformats.org/officeDocument/2006/relationships/image" Target="media/image21.png"/><Relationship Id="rId46"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office@integrity.qld.gov.au" TargetMode="External"/><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sv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svg"/><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ata.qld.gov.au"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9.svg"/><Relationship Id="rId49" Type="http://schemas.openxmlformats.org/officeDocument/2006/relationships/hyperlink" Target="https://www.integrity.qld.gov.au/publications/integrity-committee-meeting-notes.aspx"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4.svg"/><Relationship Id="rId44" Type="http://schemas.openxmlformats.org/officeDocument/2006/relationships/image" Target="media/image27.png"/><Relationship Id="rId52"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ntegrity.qld.gov.au/publications/strategic-plans.aspx" TargetMode="External"/><Relationship Id="rId27" Type="http://schemas.microsoft.com/office/2007/relationships/hdphoto" Target="media/hdphoto1.wdp"/><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chart" Target="charts/chart2.xml"/><Relationship Id="rId8" Type="http://schemas.openxmlformats.org/officeDocument/2006/relationships/webSettings" Target="webSettings.xml"/><Relationship Id="rId51" Type="http://schemas.openxmlformats.org/officeDocument/2006/relationships/hyperlink" Target="http://www.integrity.qld.gov.au/publications/annual-reports.asp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qld.gov.au/__data/assets/pdf_file/0005/120020/A-fair-and-responsive-public-service-for-al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s\OneDrive%20-%20DPC\FLASH%20DRIVE\PSC\PSC\Integrity%20Commissioner\Annual%20Report\OIC%20AR%20V3.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pcqld-my.sharepoint.com/personal/pua_samia_integrity_qld_gov_au/Documents/Desktop/Stats%20&amp;%20Audit/Breakdown%20Data%20of%20Stats%20201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pcqld-my.sharepoint.com/personal/pua_samia_integrity_qld_gov_au/Documents/Desktop/Stats%20&amp;%20Audit/Breakdown%20Data%20of%20Stats%20201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Times New Roman" panose="02020603050405020304" pitchFamily="18" charset="0"/>
                <a:ea typeface="+mj-ea"/>
                <a:cs typeface="+mj-cs"/>
              </a:defRPr>
            </a:pPr>
            <a:r>
              <a:rPr lang="en-AU"/>
              <a:t>Table 1-Advice requests received: all years</a:t>
            </a:r>
          </a:p>
        </c:rich>
      </c:tx>
      <c:overlay val="0"/>
      <c:spPr>
        <a:noFill/>
        <a:ln>
          <a:noFill/>
        </a:ln>
        <a:effectLst/>
      </c:spPr>
      <c:txPr>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Times New Roman" panose="02020603050405020304" pitchFamily="18" charset="0"/>
              <a:ea typeface="+mj-ea"/>
              <a:cs typeface="+mj-cs"/>
            </a:defRPr>
          </a:pPr>
          <a:endParaRPr lang="en-US"/>
        </a:p>
      </c:txPr>
    </c:title>
    <c:autoTitleDeleted val="0"/>
    <c:plotArea>
      <c:layout/>
      <c:barChart>
        <c:barDir val="col"/>
        <c:grouping val="clustered"/>
        <c:varyColors val="0"/>
        <c:ser>
          <c:idx val="0"/>
          <c:order val="0"/>
          <c:spPr>
            <a:solidFill>
              <a:schemeClr val="dk1">
                <a:tint val="88500"/>
                <a:alpha val="70000"/>
              </a:schemeClr>
            </a:solidFill>
            <a:ln>
              <a:noFill/>
            </a:ln>
            <a:effectLst/>
          </c:spPr>
          <c:invertIfNegative val="0"/>
          <c:dPt>
            <c:idx val="0"/>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1-7F12-462D-8828-C4BA80B84B17}"/>
              </c:ext>
            </c:extLst>
          </c:dPt>
          <c:dPt>
            <c:idx val="1"/>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3-7F12-462D-8828-C4BA80B84B17}"/>
              </c:ext>
            </c:extLst>
          </c:dPt>
          <c:dPt>
            <c:idx val="2"/>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5-7F12-462D-8828-C4BA80B84B17}"/>
              </c:ext>
            </c:extLst>
          </c:dPt>
          <c:dPt>
            <c:idx val="3"/>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7-7F12-462D-8828-C4BA80B84B17}"/>
              </c:ext>
            </c:extLst>
          </c:dPt>
          <c:dPt>
            <c:idx val="4"/>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9-7F12-462D-8828-C4BA80B84B17}"/>
              </c:ext>
            </c:extLst>
          </c:dPt>
          <c:dPt>
            <c:idx val="5"/>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B-7F12-462D-8828-C4BA80B84B17}"/>
              </c:ext>
            </c:extLst>
          </c:dPt>
          <c:dPt>
            <c:idx val="6"/>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D-7F12-462D-8828-C4BA80B84B17}"/>
              </c:ext>
            </c:extLst>
          </c:dPt>
          <c:dPt>
            <c:idx val="7"/>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0F-7F12-462D-8828-C4BA80B84B17}"/>
              </c:ext>
            </c:extLst>
          </c:dPt>
          <c:dPt>
            <c:idx val="8"/>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1-7F12-462D-8828-C4BA80B84B17}"/>
              </c:ext>
            </c:extLst>
          </c:dPt>
          <c:dPt>
            <c:idx val="9"/>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3-7F12-462D-8828-C4BA80B84B17}"/>
              </c:ext>
            </c:extLst>
          </c:dPt>
          <c:dPt>
            <c:idx val="10"/>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5-7F12-462D-8828-C4BA80B84B17}"/>
              </c:ext>
            </c:extLst>
          </c:dPt>
          <c:dPt>
            <c:idx val="11"/>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7-7F12-462D-8828-C4BA80B84B17}"/>
              </c:ext>
            </c:extLst>
          </c:dPt>
          <c:dPt>
            <c:idx val="12"/>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9-7F12-462D-8828-C4BA80B84B17}"/>
              </c:ext>
            </c:extLst>
          </c:dPt>
          <c:dPt>
            <c:idx val="13"/>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B-7F12-462D-8828-C4BA80B84B17}"/>
              </c:ext>
            </c:extLst>
          </c:dPt>
          <c:dPt>
            <c:idx val="14"/>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D-7F12-462D-8828-C4BA80B84B17}"/>
              </c:ext>
            </c:extLst>
          </c:dPt>
          <c:dPt>
            <c:idx val="15"/>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1F-7F12-462D-8828-C4BA80B84B17}"/>
              </c:ext>
            </c:extLst>
          </c:dPt>
          <c:dPt>
            <c:idx val="16"/>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21-7F12-462D-8828-C4BA80B84B17}"/>
              </c:ext>
            </c:extLst>
          </c:dPt>
          <c:dPt>
            <c:idx val="17"/>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23-7F12-462D-8828-C4BA80B84B17}"/>
              </c:ext>
            </c:extLst>
          </c:dPt>
          <c:dPt>
            <c:idx val="18"/>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25-7F12-462D-8828-C4BA80B84B17}"/>
              </c:ext>
            </c:extLst>
          </c:dPt>
          <c:dPt>
            <c:idx val="19"/>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27-7F12-462D-8828-C4BA80B84B17}"/>
              </c:ext>
            </c:extLst>
          </c:dPt>
          <c:dPt>
            <c:idx val="20"/>
            <c:invertIfNegative val="0"/>
            <c:bubble3D val="0"/>
            <c:spPr>
              <a:solidFill>
                <a:schemeClr val="dk1">
                  <a:tint val="88500"/>
                  <a:alpha val="70000"/>
                </a:schemeClr>
              </a:solidFill>
              <a:ln>
                <a:noFill/>
              </a:ln>
              <a:effectLst/>
            </c:spPr>
            <c:extLst>
              <c:ext xmlns:c16="http://schemas.microsoft.com/office/drawing/2014/chart" uri="{C3380CC4-5D6E-409C-BE32-E72D297353CC}">
                <c16:uniqueId val="{00000029-7F12-462D-8828-C4BA80B84B17}"/>
              </c:ext>
            </c:extLst>
          </c:dPt>
          <c:dLbls>
            <c:dLbl>
              <c:idx val="0"/>
              <c:layout>
                <c:manualLayout>
                  <c:x val="0"/>
                  <c:y val="6.1241228774974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12-462D-8828-C4BA80B84B17}"/>
                </c:ext>
              </c:extLst>
            </c:dLbl>
            <c:dLbl>
              <c:idx val="1"/>
              <c:layout>
                <c:manualLayout>
                  <c:x val="0"/>
                  <c:y val="-1.2119020836681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12-462D-8828-C4BA80B84B17}"/>
                </c:ext>
              </c:extLst>
            </c:dLbl>
            <c:dLbl>
              <c:idx val="2"/>
              <c:layout>
                <c:manualLayout>
                  <c:x val="-2.1555698468605279E-17"/>
                  <c:y val="5.639027264449086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12-462D-8828-C4BA80B84B17}"/>
                </c:ext>
              </c:extLst>
            </c:dLbl>
            <c:dLbl>
              <c:idx val="3"/>
              <c:layout>
                <c:manualLayout>
                  <c:x val="0"/>
                  <c:y val="-3.5690851143607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12-462D-8828-C4BA80B84B17}"/>
                </c:ext>
              </c:extLst>
            </c:dLbl>
            <c:dLbl>
              <c:idx val="4"/>
              <c:layout>
                <c:manualLayout>
                  <c:x val="-4.3111396937210558E-17"/>
                  <c:y val="1.9785473244400288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12-462D-8828-C4BA80B84B17}"/>
                </c:ext>
              </c:extLst>
            </c:dLbl>
            <c:dLbl>
              <c:idx val="5"/>
              <c:layout>
                <c:manualLayout>
                  <c:x val="2.3515579071134627E-3"/>
                  <c:y val="2.79708340028909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12-462D-8828-C4BA80B84B17}"/>
                </c:ext>
              </c:extLst>
            </c:dLbl>
            <c:dLbl>
              <c:idx val="6"/>
              <c:layout>
                <c:manualLayout>
                  <c:x val="-4.3111396937210558E-17"/>
                  <c:y val="4.91188601424814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12-462D-8828-C4BA80B84B17}"/>
                </c:ext>
              </c:extLst>
            </c:dLbl>
            <c:dLbl>
              <c:idx val="7"/>
              <c:layout>
                <c:manualLayout>
                  <c:x val="-2.3515579071135056E-3"/>
                  <c:y val="6.56402324709403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F12-462D-8828-C4BA80B84B17}"/>
                </c:ext>
              </c:extLst>
            </c:dLbl>
            <c:dLbl>
              <c:idx val="8"/>
              <c:layout>
                <c:manualLayout>
                  <c:x val="-2.3515579071134627E-3"/>
                  <c:y val="-3.10675451282890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F12-462D-8828-C4BA80B84B17}"/>
                </c:ext>
              </c:extLst>
            </c:dLbl>
            <c:dLbl>
              <c:idx val="9"/>
              <c:layout>
                <c:manualLayout>
                  <c:x val="0"/>
                  <c:y val="9.97040548502865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F12-462D-8828-C4BA80B84B17}"/>
                </c:ext>
              </c:extLst>
            </c:dLbl>
            <c:dLbl>
              <c:idx val="10"/>
              <c:layout>
                <c:manualLayout>
                  <c:x val="0"/>
                  <c:y val="-1.93937811345010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F12-462D-8828-C4BA80B84B17}"/>
                </c:ext>
              </c:extLst>
            </c:dLbl>
            <c:dLbl>
              <c:idx val="11"/>
              <c:layout>
                <c:manualLayout>
                  <c:x val="0"/>
                  <c:y val="1.46700412448443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F12-462D-8828-C4BA80B84B17}"/>
                </c:ext>
              </c:extLst>
            </c:dLbl>
            <c:dLbl>
              <c:idx val="12"/>
              <c:layout>
                <c:manualLayout>
                  <c:x val="-8.6222793874421115E-17"/>
                  <c:y val="1.46700412448443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F12-462D-8828-C4BA80B84B17}"/>
                </c:ext>
              </c:extLst>
            </c:dLbl>
            <c:dLbl>
              <c:idx val="13"/>
              <c:layout>
                <c:manualLayout>
                  <c:x val="-8.6222793874421115E-17"/>
                  <c:y val="8.21616047993992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F12-462D-8828-C4BA80B84B17}"/>
                </c:ext>
              </c:extLst>
            </c:dLbl>
            <c:dLbl>
              <c:idx val="14"/>
              <c:layout>
                <c:manualLayout>
                  <c:x val="0"/>
                  <c:y val="5.71870480475654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F12-462D-8828-C4BA80B84B17}"/>
                </c:ext>
              </c:extLst>
            </c:dLbl>
            <c:dLbl>
              <c:idx val="15"/>
              <c:layout>
                <c:manualLayout>
                  <c:x val="0"/>
                  <c:y val="1.46700412448436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F12-462D-8828-C4BA80B84B17}"/>
                </c:ext>
              </c:extLst>
            </c:dLbl>
            <c:dLbl>
              <c:idx val="16"/>
              <c:layout>
                <c:manualLayout>
                  <c:x val="0"/>
                  <c:y val="1.46700412448436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F12-462D-8828-C4BA80B84B17}"/>
                </c:ext>
              </c:extLst>
            </c:dLbl>
            <c:dLbl>
              <c:idx val="17"/>
              <c:layout>
                <c:manualLayout>
                  <c:x val="-2.3515579071134627E-3"/>
                  <c:y val="-2.78469655578766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F12-462D-8828-C4BA80B84B17}"/>
                </c:ext>
              </c:extLst>
            </c:dLbl>
            <c:dLbl>
              <c:idx val="18"/>
              <c:layout>
                <c:manualLayout>
                  <c:x val="0"/>
                  <c:y val="5.71870480475654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F12-462D-8828-C4BA80B84B17}"/>
                </c:ext>
              </c:extLst>
            </c:dLbl>
            <c:dLbl>
              <c:idx val="19"/>
              <c:layout>
                <c:manualLayout>
                  <c:x val="4.7031158142267528E-3"/>
                  <c:y val="1.84738068455728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7F12-462D-8828-C4BA80B84B17}"/>
                </c:ext>
              </c:extLst>
            </c:dLbl>
            <c:dLbl>
              <c:idx val="20"/>
              <c:layout>
                <c:manualLayout>
                  <c:x val="0"/>
                  <c:y val="5.71870480475654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F12-462D-8828-C4BA80B84B17}"/>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'Advice Over the years'!$A$1:$A$21</c:f>
              <c:strCache>
                <c:ptCount val="21"/>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pt idx="18">
                  <c:v>2018-19</c:v>
                </c:pt>
                <c:pt idx="19">
                  <c:v>2019-20</c:v>
                </c:pt>
                <c:pt idx="20">
                  <c:v>2020-21</c:v>
                </c:pt>
              </c:strCache>
            </c:strRef>
          </c:cat>
          <c:val>
            <c:numRef>
              <c:f>'Advice Over the years'!$B$1:$B$21</c:f>
              <c:numCache>
                <c:formatCode>General</c:formatCode>
                <c:ptCount val="21"/>
                <c:pt idx="0">
                  <c:v>14</c:v>
                </c:pt>
                <c:pt idx="1">
                  <c:v>25</c:v>
                </c:pt>
                <c:pt idx="2">
                  <c:v>24</c:v>
                </c:pt>
                <c:pt idx="3">
                  <c:v>21</c:v>
                </c:pt>
                <c:pt idx="4">
                  <c:v>31</c:v>
                </c:pt>
                <c:pt idx="5">
                  <c:v>30</c:v>
                </c:pt>
                <c:pt idx="6">
                  <c:v>39</c:v>
                </c:pt>
                <c:pt idx="7">
                  <c:v>40</c:v>
                </c:pt>
                <c:pt idx="8">
                  <c:v>29</c:v>
                </c:pt>
                <c:pt idx="9">
                  <c:v>57</c:v>
                </c:pt>
                <c:pt idx="10">
                  <c:v>40</c:v>
                </c:pt>
                <c:pt idx="11">
                  <c:v>67</c:v>
                </c:pt>
                <c:pt idx="12">
                  <c:v>68</c:v>
                </c:pt>
                <c:pt idx="13">
                  <c:v>41</c:v>
                </c:pt>
                <c:pt idx="14">
                  <c:v>60</c:v>
                </c:pt>
                <c:pt idx="15">
                  <c:v>66</c:v>
                </c:pt>
                <c:pt idx="16">
                  <c:v>53</c:v>
                </c:pt>
                <c:pt idx="17">
                  <c:v>216</c:v>
                </c:pt>
                <c:pt idx="18">
                  <c:v>335</c:v>
                </c:pt>
                <c:pt idx="19">
                  <c:v>307</c:v>
                </c:pt>
                <c:pt idx="20">
                  <c:v>233</c:v>
                </c:pt>
              </c:numCache>
            </c:numRef>
          </c:val>
          <c:extLst>
            <c:ext xmlns:c16="http://schemas.microsoft.com/office/drawing/2014/chart" uri="{C3380CC4-5D6E-409C-BE32-E72D297353CC}">
              <c16:uniqueId val="{0000002A-7F12-462D-8828-C4BA80B84B17}"/>
            </c:ext>
          </c:extLst>
        </c:ser>
        <c:dLbls>
          <c:dLblPos val="inEnd"/>
          <c:showLegendKey val="0"/>
          <c:showVal val="1"/>
          <c:showCatName val="0"/>
          <c:showSerName val="0"/>
          <c:showPercent val="0"/>
          <c:showBubbleSize val="0"/>
        </c:dLbls>
        <c:gapWidth val="80"/>
        <c:overlap val="25"/>
        <c:axId val="396730608"/>
        <c:axId val="396729624"/>
      </c:barChart>
      <c:catAx>
        <c:axId val="39673060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cap="none" spc="20" normalizeH="0" baseline="0">
                <a:solidFill>
                  <a:schemeClr val="tx1">
                    <a:lumMod val="65000"/>
                    <a:lumOff val="35000"/>
                  </a:schemeClr>
                </a:solidFill>
                <a:latin typeface="Times New Roman" panose="02020603050405020304" pitchFamily="18" charset="0"/>
                <a:ea typeface="+mn-ea"/>
                <a:cs typeface="+mn-cs"/>
              </a:defRPr>
            </a:pPr>
            <a:endParaRPr lang="en-US"/>
          </a:p>
        </c:txPr>
        <c:crossAx val="396729624"/>
        <c:crosses val="autoZero"/>
        <c:auto val="1"/>
        <c:lblAlgn val="ctr"/>
        <c:lblOffset val="100"/>
        <c:noMultiLvlLbl val="0"/>
      </c:catAx>
      <c:valAx>
        <c:axId val="396729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spc="20" baseline="0">
                <a:solidFill>
                  <a:schemeClr val="tx1">
                    <a:lumMod val="65000"/>
                    <a:lumOff val="35000"/>
                  </a:schemeClr>
                </a:solidFill>
                <a:latin typeface="Times New Roman" panose="02020603050405020304" pitchFamily="18" charset="0"/>
                <a:ea typeface="+mn-ea"/>
                <a:cs typeface="+mn-cs"/>
              </a:defRPr>
            </a:pPr>
            <a:endParaRPr lang="en-US"/>
          </a:p>
        </c:txPr>
        <c:crossAx val="39673060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b="1" i="0" baseline="0">
          <a:latin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sz="1000" b="0">
                <a:solidFill>
                  <a:schemeClr val="bg2">
                    <a:lumMod val="25000"/>
                  </a:schemeClr>
                </a:solidFill>
                <a:latin typeface="Times New Roman" panose="02020603050405020304" pitchFamily="18" charset="0"/>
                <a:cs typeface="Times New Roman" panose="02020603050405020304" pitchFamily="18" charset="0"/>
              </a:rPr>
              <a:t>Table 3- Lobbying</a:t>
            </a:r>
            <a:r>
              <a:rPr lang="en-AU" sz="1000" b="0" baseline="0">
                <a:solidFill>
                  <a:schemeClr val="bg2">
                    <a:lumMod val="25000"/>
                  </a:schemeClr>
                </a:solidFill>
                <a:latin typeface="Times New Roman" panose="02020603050405020304" pitchFamily="18" charset="0"/>
                <a:cs typeface="Times New Roman" panose="02020603050405020304" pitchFamily="18" charset="0"/>
              </a:rPr>
              <a:t> Requests</a:t>
            </a:r>
            <a:endParaRPr lang="en-AU" sz="1000" b="0">
              <a:solidFill>
                <a:schemeClr val="bg2">
                  <a:lumMod val="2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'Lobby Over the yrs'!$B$1</c:f>
              <c:strCache>
                <c:ptCount val="1"/>
                <c:pt idx="0">
                  <c:v>Number of Requests/Advices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1.0210025366200039E-17"/>
                  <c:y val="7.11472822046411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7AF-4E43-A40E-A57D4A46B8BA}"/>
                </c:ext>
              </c:extLst>
            </c:dLbl>
            <c:dLbl>
              <c:idx val="1"/>
              <c:layout>
                <c:manualLayout>
                  <c:x val="0"/>
                  <c:y val="7.11472822046411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AF-4E43-A40E-A57D4A46B8BA}"/>
                </c:ext>
              </c:extLst>
            </c:dLbl>
            <c:dLbl>
              <c:idx val="2"/>
              <c:layout>
                <c:manualLayout>
                  <c:x val="-4.0840101464800158E-17"/>
                  <c:y val="7.11472822046411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AF-4E43-A40E-A57D4A46B8BA}"/>
                </c:ext>
              </c:extLst>
            </c:dLbl>
            <c:dLbl>
              <c:idx val="3"/>
              <c:layout>
                <c:manualLayout>
                  <c:x val="0"/>
                  <c:y val="1.76939400691813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AF-4E43-A40E-A57D4A46B8BA}"/>
                </c:ext>
              </c:extLst>
            </c:dLbl>
            <c:dLbl>
              <c:idx val="4"/>
              <c:layout>
                <c:manualLayout>
                  <c:x val="0"/>
                  <c:y val="1.76939400691813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AF-4E43-A40E-A57D4A46B8BA}"/>
                </c:ext>
              </c:extLst>
            </c:dLbl>
            <c:dLbl>
              <c:idx val="5"/>
              <c:layout>
                <c:manualLayout>
                  <c:x val="2.2276676319892257E-3"/>
                  <c:y val="1.76939400691813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AF-4E43-A40E-A57D4A46B8BA}"/>
                </c:ext>
              </c:extLst>
            </c:dLbl>
            <c:dLbl>
              <c:idx val="6"/>
              <c:layout>
                <c:manualLayout>
                  <c:x val="0"/>
                  <c:y val="6.24381751276055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AF-4E43-A40E-A57D4A46B8BA}"/>
                </c:ext>
              </c:extLst>
            </c:dLbl>
            <c:dLbl>
              <c:idx val="7"/>
              <c:layout>
                <c:manualLayout>
                  <c:x val="0"/>
                  <c:y val="1.24043341448227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AF-4E43-A40E-A57D4A46B8BA}"/>
                </c:ext>
              </c:extLst>
            </c:dLbl>
            <c:dLbl>
              <c:idx val="8"/>
              <c:layout>
                <c:manualLayout>
                  <c:x val="-8.1680202929600316E-17"/>
                  <c:y val="1.68230293614778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AF-4E43-A40E-A57D4A46B8BA}"/>
                </c:ext>
              </c:extLst>
            </c:dLbl>
            <c:dLbl>
              <c:idx val="9"/>
              <c:layout>
                <c:manualLayout>
                  <c:x val="0"/>
                  <c:y val="1.24043341448227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AF-4E43-A40E-A57D4A46B8BA}"/>
                </c:ext>
              </c:extLst>
            </c:dLbl>
            <c:dLbl>
              <c:idx val="10"/>
              <c:layout>
                <c:manualLayout>
                  <c:x val="0"/>
                  <c:y val="2.29835459935399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AF-4E43-A40E-A57D4A46B8BA}"/>
                </c:ext>
              </c:extLst>
            </c:dLbl>
            <c:dLbl>
              <c:idx val="11"/>
              <c:layout>
                <c:manualLayout>
                  <c:x val="-1.6336040585920063E-16"/>
                  <c:y val="1.76939400691813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AF-4E43-A40E-A57D4A46B8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'Lobby Over the yrs'!$A$2:$A$13</c:f>
              <c:strCache>
                <c:ptCount val="12"/>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strCache>
            </c:strRef>
          </c:cat>
          <c:val>
            <c:numRef>
              <c:f>'Lobby Over the yrs'!$B$2:$B$13</c:f>
              <c:numCache>
                <c:formatCode>General</c:formatCode>
                <c:ptCount val="12"/>
                <c:pt idx="0">
                  <c:v>13</c:v>
                </c:pt>
                <c:pt idx="1">
                  <c:v>25</c:v>
                </c:pt>
                <c:pt idx="2">
                  <c:v>14</c:v>
                </c:pt>
                <c:pt idx="3">
                  <c:v>23</c:v>
                </c:pt>
                <c:pt idx="4">
                  <c:v>24</c:v>
                </c:pt>
                <c:pt idx="5">
                  <c:v>13</c:v>
                </c:pt>
                <c:pt idx="6">
                  <c:v>3</c:v>
                </c:pt>
                <c:pt idx="7">
                  <c:v>6</c:v>
                </c:pt>
                <c:pt idx="8">
                  <c:v>3</c:v>
                </c:pt>
                <c:pt idx="9">
                  <c:v>16</c:v>
                </c:pt>
                <c:pt idx="10">
                  <c:v>35</c:v>
                </c:pt>
                <c:pt idx="11">
                  <c:v>38</c:v>
                </c:pt>
              </c:numCache>
            </c:numRef>
          </c:val>
          <c:extLst>
            <c:ext xmlns:c16="http://schemas.microsoft.com/office/drawing/2014/chart" uri="{C3380CC4-5D6E-409C-BE32-E72D297353CC}">
              <c16:uniqueId val="{00000000-A3C9-43FA-8EBC-1F47508FEFCA}"/>
            </c:ext>
          </c:extLst>
        </c:ser>
        <c:dLbls>
          <c:dLblPos val="inEnd"/>
          <c:showLegendKey val="0"/>
          <c:showVal val="1"/>
          <c:showCatName val="0"/>
          <c:showSerName val="0"/>
          <c:showPercent val="0"/>
          <c:showBubbleSize val="0"/>
        </c:dLbls>
        <c:gapWidth val="100"/>
        <c:overlap val="-24"/>
        <c:axId val="895999080"/>
        <c:axId val="896002360"/>
      </c:barChart>
      <c:catAx>
        <c:axId val="895999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896002360"/>
        <c:crosses val="autoZero"/>
        <c:auto val="1"/>
        <c:lblAlgn val="ctr"/>
        <c:lblOffset val="100"/>
        <c:noMultiLvlLbl val="0"/>
      </c:catAx>
      <c:valAx>
        <c:axId val="8960023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895999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3199F-36DA-4F20-9AC0-5AED51E6F5CB}">
  <ds:schemaRefs>
    <ds:schemaRef ds:uri="http://schemas.openxmlformats.org/officeDocument/2006/bibliography"/>
  </ds:schemaRefs>
</ds:datastoreItem>
</file>

<file path=customXml/itemProps2.xml><?xml version="1.0" encoding="utf-8"?>
<ds:datastoreItem xmlns:ds="http://schemas.openxmlformats.org/officeDocument/2006/customXml" ds:itemID="{8F57A243-20CC-4D24-B1F0-EF9F53BD7C4B}">
  <ds:schemaRefs>
    <ds:schemaRef ds:uri="http://schemas.microsoft.com/sharepoint/v3/contenttype/forms"/>
  </ds:schemaRefs>
</ds:datastoreItem>
</file>

<file path=customXml/itemProps3.xml><?xml version="1.0" encoding="utf-8"?>
<ds:datastoreItem xmlns:ds="http://schemas.openxmlformats.org/officeDocument/2006/customXml" ds:itemID="{F145D8BE-A610-4715-A0E9-949FF71D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A4C3E-88C3-46FB-8FFC-75D51C10934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303becd-d999-4b18-bd4d-d2e9f8940f02"/>
    <ds:schemaRef ds:uri="http://purl.org/dc/dcmitype/"/>
    <ds:schemaRef ds:uri="http://schemas.microsoft.com/office/infopath/2007/PartnerControls"/>
    <ds:schemaRef ds:uri="39303455-0690-4fc8-a6f1-b969d4549f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OIC AR V3.dotx</Template>
  <TotalTime>3</TotalTime>
  <Pages>29</Pages>
  <Words>9454</Words>
  <Characters>54476</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DH_Report Publication</vt:lpstr>
    </vt:vector>
  </TitlesOfParts>
  <Manager/>
  <Company>Department of Health</Company>
  <LinksUpToDate>false</LinksUpToDate>
  <CharactersWithSpaces>63803</CharactersWithSpaces>
  <SharedDoc>false</SharedDoc>
  <HLinks>
    <vt:vector size="300" baseType="variant">
      <vt:variant>
        <vt:i4>917588</vt:i4>
      </vt:variant>
      <vt:variant>
        <vt:i4>387</vt:i4>
      </vt:variant>
      <vt:variant>
        <vt:i4>0</vt:i4>
      </vt:variant>
      <vt:variant>
        <vt:i4>5</vt:i4>
      </vt:variant>
      <vt:variant>
        <vt:lpwstr>http://www.health.qld.gov.au/</vt:lpwstr>
      </vt:variant>
      <vt:variant>
        <vt:lpwstr/>
      </vt:variant>
      <vt:variant>
        <vt:i4>1245246</vt:i4>
      </vt:variant>
      <vt:variant>
        <vt:i4>329</vt:i4>
      </vt:variant>
      <vt:variant>
        <vt:i4>0</vt:i4>
      </vt:variant>
      <vt:variant>
        <vt:i4>5</vt:i4>
      </vt:variant>
      <vt:variant>
        <vt:lpwstr/>
      </vt:variant>
      <vt:variant>
        <vt:lpwstr>_Toc373767830</vt:lpwstr>
      </vt:variant>
      <vt:variant>
        <vt:i4>1179710</vt:i4>
      </vt:variant>
      <vt:variant>
        <vt:i4>320</vt:i4>
      </vt:variant>
      <vt:variant>
        <vt:i4>0</vt:i4>
      </vt:variant>
      <vt:variant>
        <vt:i4>5</vt:i4>
      </vt:variant>
      <vt:variant>
        <vt:lpwstr/>
      </vt:variant>
      <vt:variant>
        <vt:lpwstr>_Toc373767829</vt:lpwstr>
      </vt:variant>
      <vt:variant>
        <vt:i4>1179710</vt:i4>
      </vt:variant>
      <vt:variant>
        <vt:i4>311</vt:i4>
      </vt:variant>
      <vt:variant>
        <vt:i4>0</vt:i4>
      </vt:variant>
      <vt:variant>
        <vt:i4>5</vt:i4>
      </vt:variant>
      <vt:variant>
        <vt:lpwstr/>
      </vt:variant>
      <vt:variant>
        <vt:lpwstr>_Toc373767828</vt:lpwstr>
      </vt:variant>
      <vt:variant>
        <vt:i4>1179710</vt:i4>
      </vt:variant>
      <vt:variant>
        <vt:i4>305</vt:i4>
      </vt:variant>
      <vt:variant>
        <vt:i4>0</vt:i4>
      </vt:variant>
      <vt:variant>
        <vt:i4>5</vt:i4>
      </vt:variant>
      <vt:variant>
        <vt:lpwstr/>
      </vt:variant>
      <vt:variant>
        <vt:lpwstr>_Toc373767827</vt:lpwstr>
      </vt:variant>
      <vt:variant>
        <vt:i4>1179710</vt:i4>
      </vt:variant>
      <vt:variant>
        <vt:i4>299</vt:i4>
      </vt:variant>
      <vt:variant>
        <vt:i4>0</vt:i4>
      </vt:variant>
      <vt:variant>
        <vt:i4>5</vt:i4>
      </vt:variant>
      <vt:variant>
        <vt:lpwstr/>
      </vt:variant>
      <vt:variant>
        <vt:lpwstr>_Toc373767826</vt:lpwstr>
      </vt:variant>
      <vt:variant>
        <vt:i4>1179710</vt:i4>
      </vt:variant>
      <vt:variant>
        <vt:i4>293</vt:i4>
      </vt:variant>
      <vt:variant>
        <vt:i4>0</vt:i4>
      </vt:variant>
      <vt:variant>
        <vt:i4>5</vt:i4>
      </vt:variant>
      <vt:variant>
        <vt:lpwstr/>
      </vt:variant>
      <vt:variant>
        <vt:lpwstr>_Toc373767825</vt:lpwstr>
      </vt:variant>
      <vt:variant>
        <vt:i4>1179710</vt:i4>
      </vt:variant>
      <vt:variant>
        <vt:i4>287</vt:i4>
      </vt:variant>
      <vt:variant>
        <vt:i4>0</vt:i4>
      </vt:variant>
      <vt:variant>
        <vt:i4>5</vt:i4>
      </vt:variant>
      <vt:variant>
        <vt:lpwstr/>
      </vt:variant>
      <vt:variant>
        <vt:lpwstr>_Toc373767824</vt:lpwstr>
      </vt:variant>
      <vt:variant>
        <vt:i4>1179710</vt:i4>
      </vt:variant>
      <vt:variant>
        <vt:i4>281</vt:i4>
      </vt:variant>
      <vt:variant>
        <vt:i4>0</vt:i4>
      </vt:variant>
      <vt:variant>
        <vt:i4>5</vt:i4>
      </vt:variant>
      <vt:variant>
        <vt:lpwstr/>
      </vt:variant>
      <vt:variant>
        <vt:lpwstr>_Toc373767823</vt:lpwstr>
      </vt:variant>
      <vt:variant>
        <vt:i4>1179710</vt:i4>
      </vt:variant>
      <vt:variant>
        <vt:i4>275</vt:i4>
      </vt:variant>
      <vt:variant>
        <vt:i4>0</vt:i4>
      </vt:variant>
      <vt:variant>
        <vt:i4>5</vt:i4>
      </vt:variant>
      <vt:variant>
        <vt:lpwstr/>
      </vt:variant>
      <vt:variant>
        <vt:lpwstr>_Toc373767822</vt:lpwstr>
      </vt:variant>
      <vt:variant>
        <vt:i4>1179710</vt:i4>
      </vt:variant>
      <vt:variant>
        <vt:i4>269</vt:i4>
      </vt:variant>
      <vt:variant>
        <vt:i4>0</vt:i4>
      </vt:variant>
      <vt:variant>
        <vt:i4>5</vt:i4>
      </vt:variant>
      <vt:variant>
        <vt:lpwstr/>
      </vt:variant>
      <vt:variant>
        <vt:lpwstr>_Toc373767821</vt:lpwstr>
      </vt:variant>
      <vt:variant>
        <vt:i4>1179710</vt:i4>
      </vt:variant>
      <vt:variant>
        <vt:i4>263</vt:i4>
      </vt:variant>
      <vt:variant>
        <vt:i4>0</vt:i4>
      </vt:variant>
      <vt:variant>
        <vt:i4>5</vt:i4>
      </vt:variant>
      <vt:variant>
        <vt:lpwstr/>
      </vt:variant>
      <vt:variant>
        <vt:lpwstr>_Toc373767820</vt:lpwstr>
      </vt:variant>
      <vt:variant>
        <vt:i4>1114174</vt:i4>
      </vt:variant>
      <vt:variant>
        <vt:i4>257</vt:i4>
      </vt:variant>
      <vt:variant>
        <vt:i4>0</vt:i4>
      </vt:variant>
      <vt:variant>
        <vt:i4>5</vt:i4>
      </vt:variant>
      <vt:variant>
        <vt:lpwstr/>
      </vt:variant>
      <vt:variant>
        <vt:lpwstr>_Toc373767819</vt:lpwstr>
      </vt:variant>
      <vt:variant>
        <vt:i4>1114174</vt:i4>
      </vt:variant>
      <vt:variant>
        <vt:i4>251</vt:i4>
      </vt:variant>
      <vt:variant>
        <vt:i4>0</vt:i4>
      </vt:variant>
      <vt:variant>
        <vt:i4>5</vt:i4>
      </vt:variant>
      <vt:variant>
        <vt:lpwstr/>
      </vt:variant>
      <vt:variant>
        <vt:lpwstr>_Toc373767818</vt:lpwstr>
      </vt:variant>
      <vt:variant>
        <vt:i4>1114174</vt:i4>
      </vt:variant>
      <vt:variant>
        <vt:i4>245</vt:i4>
      </vt:variant>
      <vt:variant>
        <vt:i4>0</vt:i4>
      </vt:variant>
      <vt:variant>
        <vt:i4>5</vt:i4>
      </vt:variant>
      <vt:variant>
        <vt:lpwstr/>
      </vt:variant>
      <vt:variant>
        <vt:lpwstr>_Toc373767817</vt:lpwstr>
      </vt:variant>
      <vt:variant>
        <vt:i4>1114174</vt:i4>
      </vt:variant>
      <vt:variant>
        <vt:i4>239</vt:i4>
      </vt:variant>
      <vt:variant>
        <vt:i4>0</vt:i4>
      </vt:variant>
      <vt:variant>
        <vt:i4>5</vt:i4>
      </vt:variant>
      <vt:variant>
        <vt:lpwstr/>
      </vt:variant>
      <vt:variant>
        <vt:lpwstr>_Toc373767816</vt:lpwstr>
      </vt:variant>
      <vt:variant>
        <vt:i4>1114174</vt:i4>
      </vt:variant>
      <vt:variant>
        <vt:i4>233</vt:i4>
      </vt:variant>
      <vt:variant>
        <vt:i4>0</vt:i4>
      </vt:variant>
      <vt:variant>
        <vt:i4>5</vt:i4>
      </vt:variant>
      <vt:variant>
        <vt:lpwstr/>
      </vt:variant>
      <vt:variant>
        <vt:lpwstr>_Toc373767815</vt:lpwstr>
      </vt:variant>
      <vt:variant>
        <vt:i4>1114174</vt:i4>
      </vt:variant>
      <vt:variant>
        <vt:i4>227</vt:i4>
      </vt:variant>
      <vt:variant>
        <vt:i4>0</vt:i4>
      </vt:variant>
      <vt:variant>
        <vt:i4>5</vt:i4>
      </vt:variant>
      <vt:variant>
        <vt:lpwstr/>
      </vt:variant>
      <vt:variant>
        <vt:lpwstr>_Toc373767814</vt:lpwstr>
      </vt:variant>
      <vt:variant>
        <vt:i4>1114174</vt:i4>
      </vt:variant>
      <vt:variant>
        <vt:i4>221</vt:i4>
      </vt:variant>
      <vt:variant>
        <vt:i4>0</vt:i4>
      </vt:variant>
      <vt:variant>
        <vt:i4>5</vt:i4>
      </vt:variant>
      <vt:variant>
        <vt:lpwstr/>
      </vt:variant>
      <vt:variant>
        <vt:lpwstr>_Toc373767813</vt:lpwstr>
      </vt:variant>
      <vt:variant>
        <vt:i4>1114174</vt:i4>
      </vt:variant>
      <vt:variant>
        <vt:i4>215</vt:i4>
      </vt:variant>
      <vt:variant>
        <vt:i4>0</vt:i4>
      </vt:variant>
      <vt:variant>
        <vt:i4>5</vt:i4>
      </vt:variant>
      <vt:variant>
        <vt:lpwstr/>
      </vt:variant>
      <vt:variant>
        <vt:lpwstr>_Toc373767812</vt:lpwstr>
      </vt:variant>
      <vt:variant>
        <vt:i4>1114174</vt:i4>
      </vt:variant>
      <vt:variant>
        <vt:i4>209</vt:i4>
      </vt:variant>
      <vt:variant>
        <vt:i4>0</vt:i4>
      </vt:variant>
      <vt:variant>
        <vt:i4>5</vt:i4>
      </vt:variant>
      <vt:variant>
        <vt:lpwstr/>
      </vt:variant>
      <vt:variant>
        <vt:lpwstr>_Toc373767811</vt:lpwstr>
      </vt:variant>
      <vt:variant>
        <vt:i4>1114174</vt:i4>
      </vt:variant>
      <vt:variant>
        <vt:i4>203</vt:i4>
      </vt:variant>
      <vt:variant>
        <vt:i4>0</vt:i4>
      </vt:variant>
      <vt:variant>
        <vt:i4>5</vt:i4>
      </vt:variant>
      <vt:variant>
        <vt:lpwstr/>
      </vt:variant>
      <vt:variant>
        <vt:lpwstr>_Toc373767810</vt:lpwstr>
      </vt:variant>
      <vt:variant>
        <vt:i4>1048638</vt:i4>
      </vt:variant>
      <vt:variant>
        <vt:i4>197</vt:i4>
      </vt:variant>
      <vt:variant>
        <vt:i4>0</vt:i4>
      </vt:variant>
      <vt:variant>
        <vt:i4>5</vt:i4>
      </vt:variant>
      <vt:variant>
        <vt:lpwstr/>
      </vt:variant>
      <vt:variant>
        <vt:lpwstr>_Toc373767809</vt:lpwstr>
      </vt:variant>
      <vt:variant>
        <vt:i4>1048638</vt:i4>
      </vt:variant>
      <vt:variant>
        <vt:i4>191</vt:i4>
      </vt:variant>
      <vt:variant>
        <vt:i4>0</vt:i4>
      </vt:variant>
      <vt:variant>
        <vt:i4>5</vt:i4>
      </vt:variant>
      <vt:variant>
        <vt:lpwstr/>
      </vt:variant>
      <vt:variant>
        <vt:lpwstr>_Toc373767808</vt:lpwstr>
      </vt:variant>
      <vt:variant>
        <vt:i4>1048638</vt:i4>
      </vt:variant>
      <vt:variant>
        <vt:i4>185</vt:i4>
      </vt:variant>
      <vt:variant>
        <vt:i4>0</vt:i4>
      </vt:variant>
      <vt:variant>
        <vt:i4>5</vt:i4>
      </vt:variant>
      <vt:variant>
        <vt:lpwstr/>
      </vt:variant>
      <vt:variant>
        <vt:lpwstr>_Toc373767807</vt:lpwstr>
      </vt:variant>
      <vt:variant>
        <vt:i4>1048638</vt:i4>
      </vt:variant>
      <vt:variant>
        <vt:i4>179</vt:i4>
      </vt:variant>
      <vt:variant>
        <vt:i4>0</vt:i4>
      </vt:variant>
      <vt:variant>
        <vt:i4>5</vt:i4>
      </vt:variant>
      <vt:variant>
        <vt:lpwstr/>
      </vt:variant>
      <vt:variant>
        <vt:lpwstr>_Toc373767806</vt:lpwstr>
      </vt:variant>
      <vt:variant>
        <vt:i4>1048638</vt:i4>
      </vt:variant>
      <vt:variant>
        <vt:i4>173</vt:i4>
      </vt:variant>
      <vt:variant>
        <vt:i4>0</vt:i4>
      </vt:variant>
      <vt:variant>
        <vt:i4>5</vt:i4>
      </vt:variant>
      <vt:variant>
        <vt:lpwstr/>
      </vt:variant>
      <vt:variant>
        <vt:lpwstr>_Toc373767805</vt:lpwstr>
      </vt:variant>
      <vt:variant>
        <vt:i4>1048638</vt:i4>
      </vt:variant>
      <vt:variant>
        <vt:i4>167</vt:i4>
      </vt:variant>
      <vt:variant>
        <vt:i4>0</vt:i4>
      </vt:variant>
      <vt:variant>
        <vt:i4>5</vt:i4>
      </vt:variant>
      <vt:variant>
        <vt:lpwstr/>
      </vt:variant>
      <vt:variant>
        <vt:lpwstr>_Toc373767804</vt:lpwstr>
      </vt:variant>
      <vt:variant>
        <vt:i4>1048638</vt:i4>
      </vt:variant>
      <vt:variant>
        <vt:i4>161</vt:i4>
      </vt:variant>
      <vt:variant>
        <vt:i4>0</vt:i4>
      </vt:variant>
      <vt:variant>
        <vt:i4>5</vt:i4>
      </vt:variant>
      <vt:variant>
        <vt:lpwstr/>
      </vt:variant>
      <vt:variant>
        <vt:lpwstr>_Toc373767803</vt:lpwstr>
      </vt:variant>
      <vt:variant>
        <vt:i4>1048638</vt:i4>
      </vt:variant>
      <vt:variant>
        <vt:i4>155</vt:i4>
      </vt:variant>
      <vt:variant>
        <vt:i4>0</vt:i4>
      </vt:variant>
      <vt:variant>
        <vt:i4>5</vt:i4>
      </vt:variant>
      <vt:variant>
        <vt:lpwstr/>
      </vt:variant>
      <vt:variant>
        <vt:lpwstr>_Toc373767802</vt:lpwstr>
      </vt:variant>
      <vt:variant>
        <vt:i4>1048638</vt:i4>
      </vt:variant>
      <vt:variant>
        <vt:i4>149</vt:i4>
      </vt:variant>
      <vt:variant>
        <vt:i4>0</vt:i4>
      </vt:variant>
      <vt:variant>
        <vt:i4>5</vt:i4>
      </vt:variant>
      <vt:variant>
        <vt:lpwstr/>
      </vt:variant>
      <vt:variant>
        <vt:lpwstr>_Toc373767801</vt:lpwstr>
      </vt:variant>
      <vt:variant>
        <vt:i4>1048638</vt:i4>
      </vt:variant>
      <vt:variant>
        <vt:i4>143</vt:i4>
      </vt:variant>
      <vt:variant>
        <vt:i4>0</vt:i4>
      </vt:variant>
      <vt:variant>
        <vt:i4>5</vt:i4>
      </vt:variant>
      <vt:variant>
        <vt:lpwstr/>
      </vt:variant>
      <vt:variant>
        <vt:lpwstr>_Toc373767800</vt:lpwstr>
      </vt:variant>
      <vt:variant>
        <vt:i4>1638449</vt:i4>
      </vt:variant>
      <vt:variant>
        <vt:i4>137</vt:i4>
      </vt:variant>
      <vt:variant>
        <vt:i4>0</vt:i4>
      </vt:variant>
      <vt:variant>
        <vt:i4>5</vt:i4>
      </vt:variant>
      <vt:variant>
        <vt:lpwstr/>
      </vt:variant>
      <vt:variant>
        <vt:lpwstr>_Toc373767799</vt:lpwstr>
      </vt:variant>
      <vt:variant>
        <vt:i4>1638449</vt:i4>
      </vt:variant>
      <vt:variant>
        <vt:i4>131</vt:i4>
      </vt:variant>
      <vt:variant>
        <vt:i4>0</vt:i4>
      </vt:variant>
      <vt:variant>
        <vt:i4>5</vt:i4>
      </vt:variant>
      <vt:variant>
        <vt:lpwstr/>
      </vt:variant>
      <vt:variant>
        <vt:lpwstr>_Toc373767798</vt:lpwstr>
      </vt:variant>
      <vt:variant>
        <vt:i4>1638449</vt:i4>
      </vt:variant>
      <vt:variant>
        <vt:i4>125</vt:i4>
      </vt:variant>
      <vt:variant>
        <vt:i4>0</vt:i4>
      </vt:variant>
      <vt:variant>
        <vt:i4>5</vt:i4>
      </vt:variant>
      <vt:variant>
        <vt:lpwstr/>
      </vt:variant>
      <vt:variant>
        <vt:lpwstr>_Toc373767797</vt:lpwstr>
      </vt:variant>
      <vt:variant>
        <vt:i4>1638449</vt:i4>
      </vt:variant>
      <vt:variant>
        <vt:i4>119</vt:i4>
      </vt:variant>
      <vt:variant>
        <vt:i4>0</vt:i4>
      </vt:variant>
      <vt:variant>
        <vt:i4>5</vt:i4>
      </vt:variant>
      <vt:variant>
        <vt:lpwstr/>
      </vt:variant>
      <vt:variant>
        <vt:lpwstr>_Toc373767796</vt:lpwstr>
      </vt:variant>
      <vt:variant>
        <vt:i4>1638449</vt:i4>
      </vt:variant>
      <vt:variant>
        <vt:i4>113</vt:i4>
      </vt:variant>
      <vt:variant>
        <vt:i4>0</vt:i4>
      </vt:variant>
      <vt:variant>
        <vt:i4>5</vt:i4>
      </vt:variant>
      <vt:variant>
        <vt:lpwstr/>
      </vt:variant>
      <vt:variant>
        <vt:lpwstr>_Toc373767795</vt:lpwstr>
      </vt:variant>
      <vt:variant>
        <vt:i4>1638449</vt:i4>
      </vt:variant>
      <vt:variant>
        <vt:i4>107</vt:i4>
      </vt:variant>
      <vt:variant>
        <vt:i4>0</vt:i4>
      </vt:variant>
      <vt:variant>
        <vt:i4>5</vt:i4>
      </vt:variant>
      <vt:variant>
        <vt:lpwstr/>
      </vt:variant>
      <vt:variant>
        <vt:lpwstr>_Toc373767794</vt:lpwstr>
      </vt:variant>
      <vt:variant>
        <vt:i4>1638449</vt:i4>
      </vt:variant>
      <vt:variant>
        <vt:i4>101</vt:i4>
      </vt:variant>
      <vt:variant>
        <vt:i4>0</vt:i4>
      </vt:variant>
      <vt:variant>
        <vt:i4>5</vt:i4>
      </vt:variant>
      <vt:variant>
        <vt:lpwstr/>
      </vt:variant>
      <vt:variant>
        <vt:lpwstr>_Toc373767793</vt:lpwstr>
      </vt:variant>
      <vt:variant>
        <vt:i4>1638449</vt:i4>
      </vt:variant>
      <vt:variant>
        <vt:i4>95</vt:i4>
      </vt:variant>
      <vt:variant>
        <vt:i4>0</vt:i4>
      </vt:variant>
      <vt:variant>
        <vt:i4>5</vt:i4>
      </vt:variant>
      <vt:variant>
        <vt:lpwstr/>
      </vt:variant>
      <vt:variant>
        <vt:lpwstr>_Toc373767792</vt:lpwstr>
      </vt:variant>
      <vt:variant>
        <vt:i4>1638449</vt:i4>
      </vt:variant>
      <vt:variant>
        <vt:i4>89</vt:i4>
      </vt:variant>
      <vt:variant>
        <vt:i4>0</vt:i4>
      </vt:variant>
      <vt:variant>
        <vt:i4>5</vt:i4>
      </vt:variant>
      <vt:variant>
        <vt:lpwstr/>
      </vt:variant>
      <vt:variant>
        <vt:lpwstr>_Toc373767791</vt:lpwstr>
      </vt:variant>
      <vt:variant>
        <vt:i4>1638449</vt:i4>
      </vt:variant>
      <vt:variant>
        <vt:i4>83</vt:i4>
      </vt:variant>
      <vt:variant>
        <vt:i4>0</vt:i4>
      </vt:variant>
      <vt:variant>
        <vt:i4>5</vt:i4>
      </vt:variant>
      <vt:variant>
        <vt:lpwstr/>
      </vt:variant>
      <vt:variant>
        <vt:lpwstr>_Toc373767790</vt:lpwstr>
      </vt:variant>
      <vt:variant>
        <vt:i4>1572913</vt:i4>
      </vt:variant>
      <vt:variant>
        <vt:i4>77</vt:i4>
      </vt:variant>
      <vt:variant>
        <vt:i4>0</vt:i4>
      </vt:variant>
      <vt:variant>
        <vt:i4>5</vt:i4>
      </vt:variant>
      <vt:variant>
        <vt:lpwstr/>
      </vt:variant>
      <vt:variant>
        <vt:lpwstr>_Toc373767789</vt:lpwstr>
      </vt:variant>
      <vt:variant>
        <vt:i4>1572913</vt:i4>
      </vt:variant>
      <vt:variant>
        <vt:i4>71</vt:i4>
      </vt:variant>
      <vt:variant>
        <vt:i4>0</vt:i4>
      </vt:variant>
      <vt:variant>
        <vt:i4>5</vt:i4>
      </vt:variant>
      <vt:variant>
        <vt:lpwstr/>
      </vt:variant>
      <vt:variant>
        <vt:lpwstr>_Toc373767788</vt:lpwstr>
      </vt:variant>
      <vt:variant>
        <vt:i4>1572913</vt:i4>
      </vt:variant>
      <vt:variant>
        <vt:i4>65</vt:i4>
      </vt:variant>
      <vt:variant>
        <vt:i4>0</vt:i4>
      </vt:variant>
      <vt:variant>
        <vt:i4>5</vt:i4>
      </vt:variant>
      <vt:variant>
        <vt:lpwstr/>
      </vt:variant>
      <vt:variant>
        <vt:lpwstr>_Toc373767787</vt:lpwstr>
      </vt:variant>
      <vt:variant>
        <vt:i4>1572913</vt:i4>
      </vt:variant>
      <vt:variant>
        <vt:i4>59</vt:i4>
      </vt:variant>
      <vt:variant>
        <vt:i4>0</vt:i4>
      </vt:variant>
      <vt:variant>
        <vt:i4>5</vt:i4>
      </vt:variant>
      <vt:variant>
        <vt:lpwstr/>
      </vt:variant>
      <vt:variant>
        <vt:lpwstr>_Toc373767786</vt:lpwstr>
      </vt:variant>
      <vt:variant>
        <vt:i4>1572913</vt:i4>
      </vt:variant>
      <vt:variant>
        <vt:i4>53</vt:i4>
      </vt:variant>
      <vt:variant>
        <vt:i4>0</vt:i4>
      </vt:variant>
      <vt:variant>
        <vt:i4>5</vt:i4>
      </vt:variant>
      <vt:variant>
        <vt:lpwstr/>
      </vt:variant>
      <vt:variant>
        <vt:lpwstr>_Toc373767785</vt:lpwstr>
      </vt:variant>
      <vt:variant>
        <vt:i4>1572913</vt:i4>
      </vt:variant>
      <vt:variant>
        <vt:i4>47</vt:i4>
      </vt:variant>
      <vt:variant>
        <vt:i4>0</vt:i4>
      </vt:variant>
      <vt:variant>
        <vt:i4>5</vt:i4>
      </vt:variant>
      <vt:variant>
        <vt:lpwstr/>
      </vt:variant>
      <vt:variant>
        <vt:lpwstr>_Toc373767784</vt:lpwstr>
      </vt:variant>
      <vt:variant>
        <vt:i4>1572913</vt:i4>
      </vt:variant>
      <vt:variant>
        <vt:i4>41</vt:i4>
      </vt:variant>
      <vt:variant>
        <vt:i4>0</vt:i4>
      </vt:variant>
      <vt:variant>
        <vt:i4>5</vt:i4>
      </vt:variant>
      <vt:variant>
        <vt:lpwstr/>
      </vt:variant>
      <vt:variant>
        <vt:lpwstr>_Toc373767783</vt:lpwstr>
      </vt:variant>
      <vt:variant>
        <vt:i4>1572913</vt:i4>
      </vt:variant>
      <vt:variant>
        <vt:i4>35</vt:i4>
      </vt:variant>
      <vt:variant>
        <vt:i4>0</vt:i4>
      </vt:variant>
      <vt:variant>
        <vt:i4>5</vt:i4>
      </vt:variant>
      <vt:variant>
        <vt:lpwstr/>
      </vt:variant>
      <vt:variant>
        <vt:lpwstr>_Toc373767782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Integrity Commissioner Annual Report 2020-21</dc:title>
  <dc:subject/>
  <dc:creator>Author: Dr Nikola Stepanov</dc:creator>
  <cp:keywords/>
  <dc:description/>
  <cp:lastModifiedBy>Janelle Hocking</cp:lastModifiedBy>
  <cp:revision>2</cp:revision>
  <cp:lastPrinted>2021-09-30T22:25:00Z</cp:lastPrinted>
  <dcterms:created xsi:type="dcterms:W3CDTF">2021-10-01T06:57:00Z</dcterms:created>
  <dcterms:modified xsi:type="dcterms:W3CDTF">2021-10-01T06:57:00Z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