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rFonts w:ascii="Times New Roman"/>
          <w:sz w:val="4"/>
        </w:rPr>
      </w:pPr>
    </w:p>
    <w:p>
      <w:pPr>
        <w:pStyle w:val="BodyText"/>
        <w:tabs>
          <w:tab w:pos="12878" w:val="left" w:leader="none"/>
        </w:tabs>
        <w:ind w:left="807"/>
        <w:rPr>
          <w:rFonts w:ascii="Times New Roman"/>
        </w:rPr>
      </w:pPr>
      <w:r>
        <w:rPr>
          <w:rFonts w:ascii="Times New Roman"/>
        </w:rPr>
        <w:drawing>
          <wp:inline distT="0" distB="0" distL="0" distR="0">
            <wp:extent cx="991171" cy="1056703"/>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91171" cy="1056703"/>
                    </a:xfrm>
                    <a:prstGeom prst="rect">
                      <a:avLst/>
                    </a:prstGeom>
                  </pic:spPr>
                </pic:pic>
              </a:graphicData>
            </a:graphic>
          </wp:inline>
        </w:drawing>
      </w:r>
      <w:r>
        <w:rPr>
          <w:rFonts w:ascii="Times New Roman"/>
        </w:rPr>
      </w:r>
      <w:r>
        <w:rPr>
          <w:rFonts w:ascii="Times New Roman"/>
        </w:rPr>
        <w:tab/>
      </w:r>
      <w:r>
        <w:rPr>
          <w:rFonts w:ascii="Times New Roman"/>
          <w:position w:val="1"/>
        </w:rPr>
        <w:drawing>
          <wp:inline distT="0" distB="0" distL="0" distR="0">
            <wp:extent cx="1121667" cy="1024127"/>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121667" cy="1024127"/>
                    </a:xfrm>
                    <a:prstGeom prst="rect">
                      <a:avLst/>
                    </a:prstGeom>
                  </pic:spPr>
                </pic:pic>
              </a:graphicData>
            </a:graphic>
          </wp:inline>
        </w:drawing>
      </w:r>
      <w:r>
        <w:rPr>
          <w:rFonts w:ascii="Times New Roman"/>
          <w:position w:val="1"/>
        </w:rPr>
      </w:r>
    </w:p>
    <w:p>
      <w:pPr>
        <w:pStyle w:val="BodyText"/>
        <w:rPr>
          <w:rFonts w:ascii="Times New Roman"/>
        </w:rPr>
      </w:pPr>
    </w:p>
    <w:p>
      <w:pPr>
        <w:pStyle w:val="BodyText"/>
        <w:spacing w:before="7"/>
        <w:rPr>
          <w:rFonts w:ascii="Times New Roman"/>
          <w:sz w:val="28"/>
        </w:rPr>
      </w:pPr>
    </w:p>
    <w:p>
      <w:pPr>
        <w:spacing w:before="101"/>
        <w:ind w:left="809" w:right="0" w:firstLine="0"/>
        <w:jc w:val="left"/>
        <w:rPr>
          <w:rFonts w:ascii="Cambria"/>
          <w:sz w:val="52"/>
        </w:rPr>
      </w:pPr>
      <w:r>
        <w:rPr>
          <w:rFonts w:ascii="Cambria"/>
          <w:color w:val="39523A"/>
          <w:sz w:val="52"/>
        </w:rPr>
        <w:t>Queensland Integrity Commissioner</w:t>
      </w:r>
    </w:p>
    <w:p>
      <w:pPr>
        <w:pStyle w:val="BodyText"/>
        <w:spacing w:before="5"/>
        <w:rPr>
          <w:rFonts w:ascii="Cambria"/>
          <w:sz w:val="11"/>
        </w:rPr>
      </w:pPr>
      <w:r>
        <w:rPr/>
        <w:drawing>
          <wp:anchor distT="0" distB="0" distL="0" distR="0" allowOverlap="1" layoutInCell="1" locked="0" behindDoc="0" simplePos="0" relativeHeight="0">
            <wp:simplePos x="0" y="0"/>
            <wp:positionH relativeFrom="page">
              <wp:posOffset>920241</wp:posOffset>
            </wp:positionH>
            <wp:positionV relativeFrom="paragraph">
              <wp:posOffset>109868</wp:posOffset>
            </wp:positionV>
            <wp:extent cx="4658179" cy="47148"/>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4658179" cy="47148"/>
                    </a:xfrm>
                    <a:prstGeom prst="rect">
                      <a:avLst/>
                    </a:prstGeom>
                  </pic:spPr>
                </pic:pic>
              </a:graphicData>
            </a:graphic>
          </wp:anchor>
        </w:drawing>
      </w:r>
    </w:p>
    <w:p>
      <w:pPr>
        <w:pStyle w:val="BodyText"/>
        <w:spacing w:before="3"/>
        <w:rPr>
          <w:rFonts w:ascii="Cambria"/>
          <w:sz w:val="46"/>
        </w:rPr>
      </w:pPr>
    </w:p>
    <w:p>
      <w:pPr>
        <w:spacing w:before="0"/>
        <w:ind w:left="809" w:right="0" w:firstLine="0"/>
        <w:jc w:val="left"/>
        <w:rPr>
          <w:rFonts w:ascii="Garamond"/>
          <w:i/>
          <w:sz w:val="25"/>
        </w:rPr>
      </w:pPr>
      <w:r>
        <w:rPr>
          <w:rFonts w:ascii="Garamond"/>
          <w:i/>
          <w:color w:val="448E79"/>
          <w:sz w:val="25"/>
        </w:rPr>
        <w:t>Encouraging confidence in public office &amp; public institutions</w:t>
      </w:r>
    </w:p>
    <w:p>
      <w:pPr>
        <w:pStyle w:val="BodyText"/>
        <w:rPr>
          <w:rFonts w:ascii="Garamond"/>
          <w:i/>
        </w:rPr>
      </w:pPr>
    </w:p>
    <w:p>
      <w:pPr>
        <w:pStyle w:val="BodyText"/>
        <w:rPr>
          <w:rFonts w:ascii="Garamond"/>
          <w:i/>
        </w:rPr>
      </w:pPr>
    </w:p>
    <w:p>
      <w:pPr>
        <w:pStyle w:val="BodyText"/>
        <w:spacing w:before="2"/>
        <w:rPr>
          <w:rFonts w:ascii="Garamond"/>
          <w:i/>
          <w:sz w:val="28"/>
        </w:rPr>
      </w:pPr>
    </w:p>
    <w:p>
      <w:pPr>
        <w:spacing w:before="101"/>
        <w:ind w:left="792" w:right="0" w:firstLine="0"/>
        <w:jc w:val="left"/>
        <w:rPr>
          <w:rFonts w:ascii="Calisto MT" w:hAnsi="Calisto MT"/>
          <w:sz w:val="52"/>
        </w:rPr>
      </w:pPr>
      <w:r>
        <w:rPr>
          <w:rFonts w:ascii="Calisto MT" w:hAnsi="Calisto MT"/>
          <w:sz w:val="52"/>
        </w:rPr>
        <w:t>A</w:t>
      </w:r>
      <w:r>
        <w:rPr>
          <w:rFonts w:ascii="Calisto MT" w:hAnsi="Calisto MT"/>
          <w:sz w:val="41"/>
        </w:rPr>
        <w:t>NNUAL </w:t>
      </w:r>
      <w:r>
        <w:rPr>
          <w:rFonts w:ascii="Calisto MT" w:hAnsi="Calisto MT"/>
          <w:sz w:val="52"/>
        </w:rPr>
        <w:t>R</w:t>
      </w:r>
      <w:r>
        <w:rPr>
          <w:rFonts w:ascii="Calisto MT" w:hAnsi="Calisto MT"/>
          <w:sz w:val="41"/>
        </w:rPr>
        <w:t>EPORT </w:t>
      </w:r>
      <w:r>
        <w:rPr>
          <w:rFonts w:ascii="Calisto MT" w:hAnsi="Calisto MT"/>
          <w:sz w:val="52"/>
        </w:rPr>
        <w:t>2019–2020</w:t>
      </w:r>
    </w:p>
    <w:p>
      <w:pPr>
        <w:pStyle w:val="BodyText"/>
        <w:rPr>
          <w:rFonts w:ascii="Calisto MT"/>
        </w:rPr>
      </w:pPr>
    </w:p>
    <w:p>
      <w:pPr>
        <w:pStyle w:val="BodyText"/>
        <w:rPr>
          <w:rFonts w:ascii="Calisto MT"/>
        </w:rPr>
      </w:pPr>
    </w:p>
    <w:p>
      <w:pPr>
        <w:pStyle w:val="BodyText"/>
        <w:rPr>
          <w:rFonts w:ascii="Calisto MT"/>
        </w:rPr>
      </w:pPr>
    </w:p>
    <w:p>
      <w:pPr>
        <w:pStyle w:val="BodyText"/>
        <w:rPr>
          <w:rFonts w:ascii="Calisto MT"/>
        </w:rPr>
      </w:pPr>
    </w:p>
    <w:p>
      <w:pPr>
        <w:pStyle w:val="BodyText"/>
        <w:rPr>
          <w:rFonts w:ascii="Calisto MT"/>
        </w:rPr>
      </w:pPr>
    </w:p>
    <w:p>
      <w:pPr>
        <w:pStyle w:val="BodyText"/>
        <w:rPr>
          <w:rFonts w:ascii="Calisto MT"/>
        </w:rPr>
      </w:pPr>
    </w:p>
    <w:p>
      <w:pPr>
        <w:pStyle w:val="BodyText"/>
        <w:rPr>
          <w:rFonts w:ascii="Calisto MT"/>
        </w:rPr>
      </w:pPr>
    </w:p>
    <w:p>
      <w:pPr>
        <w:pStyle w:val="BodyText"/>
        <w:spacing w:before="1"/>
        <w:rPr>
          <w:rFonts w:ascii="Calisto MT"/>
          <w:sz w:val="19"/>
        </w:rPr>
      </w:pPr>
      <w:r>
        <w:rPr/>
        <w:drawing>
          <wp:anchor distT="0" distB="0" distL="0" distR="0" allowOverlap="1" layoutInCell="1" locked="0" behindDoc="0" simplePos="0" relativeHeight="1">
            <wp:simplePos x="0" y="0"/>
            <wp:positionH relativeFrom="page">
              <wp:posOffset>443712</wp:posOffset>
            </wp:positionH>
            <wp:positionV relativeFrom="paragraph">
              <wp:posOffset>165266</wp:posOffset>
            </wp:positionV>
            <wp:extent cx="9494299" cy="1644681"/>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9494299" cy="1644681"/>
                    </a:xfrm>
                    <a:prstGeom prst="rect">
                      <a:avLst/>
                    </a:prstGeom>
                  </pic:spPr>
                </pic:pic>
              </a:graphicData>
            </a:graphic>
          </wp:anchor>
        </w:drawing>
      </w:r>
    </w:p>
    <w:p>
      <w:pPr>
        <w:spacing w:after="0"/>
        <w:rPr>
          <w:rFonts w:ascii="Calisto MT"/>
          <w:sz w:val="19"/>
        </w:rPr>
        <w:sectPr>
          <w:type w:val="continuous"/>
          <w:pgSz w:w="16840" w:h="11910" w:orient="landscape"/>
          <w:pgMar w:top="1100" w:bottom="280" w:left="580" w:right="620"/>
        </w:sectPr>
      </w:pPr>
    </w:p>
    <w:p>
      <w:pPr>
        <w:pStyle w:val="BodyText"/>
        <w:spacing w:line="276" w:lineRule="auto" w:before="29"/>
        <w:ind w:left="2096" w:right="10436"/>
      </w:pPr>
      <w:r>
        <w:rPr/>
        <w:pict>
          <v:group style="position:absolute;margin-left:35.396999pt;margin-top:35.315006pt;width:769.9pt;height:523.9500pt;mso-position-horizontal-relative:page;mso-position-vertical-relative:page;z-index:-16425984" coordorigin="708,706" coordsize="15398,10479">
            <v:rect style="position:absolute;left:707;top:706;width:15398;height:10479" filled="true" fillcolor="#afccaf" stroked="false">
              <v:fill type="solid"/>
            </v:rect>
            <v:shape style="position:absolute;left:2383;top:756;width:11972;height:10402" type="#_x0000_t75" stroked="false">
              <v:imagedata r:id="rId10" o:title=""/>
            </v:shape>
            <v:rect style="position:absolute;left:2435;top:806;width:11788;height:10219" filled="true" fillcolor="#ffffff" stroked="false">
              <v:fill type="solid"/>
            </v:rect>
            <v:rect style="position:absolute;left:2435;top:806;width:11788;height:10219" filled="false" stroked="true" strokeweight="1pt" strokecolor="#808080">
              <v:stroke dashstyle="solid"/>
            </v:rect>
            <v:shape style="position:absolute;left:2666;top:8676;width:3487;height:643" type="#_x0000_t75" stroked="false">
              <v:imagedata r:id="rId11" o:title=""/>
            </v:shape>
            <w10:wrap type="none"/>
          </v:group>
        </w:pict>
      </w:r>
      <w:r>
        <w:rPr/>
        <w:t>The Honourable Curtis Pitt MP Speaker of the Legislative Assembly Parliament House</w:t>
      </w:r>
    </w:p>
    <w:p>
      <w:pPr>
        <w:pStyle w:val="BodyText"/>
        <w:ind w:left="2096"/>
      </w:pPr>
      <w:r>
        <w:rPr/>
        <w:t>George Street</w:t>
      </w:r>
    </w:p>
    <w:p>
      <w:pPr>
        <w:pStyle w:val="BodyText"/>
        <w:spacing w:before="37"/>
        <w:ind w:left="2096"/>
      </w:pPr>
      <w:r>
        <w:rPr/>
        <w:t>BRISBANE QLD 4000</w:t>
      </w:r>
    </w:p>
    <w:p>
      <w:pPr>
        <w:pStyle w:val="BodyText"/>
      </w:pPr>
    </w:p>
    <w:p>
      <w:pPr>
        <w:pStyle w:val="BodyText"/>
      </w:pPr>
    </w:p>
    <w:p>
      <w:pPr>
        <w:pStyle w:val="BodyText"/>
        <w:spacing w:before="4"/>
        <w:rPr>
          <w:sz w:val="25"/>
        </w:rPr>
      </w:pPr>
    </w:p>
    <w:p>
      <w:pPr>
        <w:pStyle w:val="BodyText"/>
        <w:ind w:left="2096"/>
      </w:pPr>
      <w:r>
        <w:rPr/>
        <w:t>Dear Mr Speaker</w:t>
      </w:r>
    </w:p>
    <w:p>
      <w:pPr>
        <w:pStyle w:val="BodyText"/>
        <w:spacing w:before="8"/>
        <w:rPr>
          <w:sz w:val="22"/>
        </w:rPr>
      </w:pPr>
    </w:p>
    <w:p>
      <w:pPr>
        <w:pStyle w:val="BodyText"/>
        <w:spacing w:line="276" w:lineRule="auto"/>
        <w:ind w:left="2096" w:right="2392"/>
        <w:jc w:val="both"/>
      </w:pPr>
      <w:r>
        <w:rPr/>
        <w:t>I am pleased to provide you with the Queensland Integrity Commissioner Annual Report 2019-2020. This is the third Annual Report since my appointment as Integrity Commissioner, and the eleventh report under the provisions of section 85 of the </w:t>
      </w:r>
      <w:r>
        <w:rPr>
          <w:i/>
        </w:rPr>
        <w:t>Integrity Act 2009</w:t>
      </w:r>
      <w:r>
        <w:rPr/>
        <w:t>. Previous Annual Reports were provided to the Premier as required by the provisions of the </w:t>
      </w:r>
      <w:r>
        <w:rPr>
          <w:i/>
        </w:rPr>
        <w:t>Public Sector Ethics Act</w:t>
      </w:r>
      <w:r>
        <w:rPr>
          <w:i/>
          <w:spacing w:val="-17"/>
        </w:rPr>
        <w:t> </w:t>
      </w:r>
      <w:r>
        <w:rPr>
          <w:i/>
        </w:rPr>
        <w:t>1994</w:t>
      </w:r>
      <w:r>
        <w:rPr/>
        <w:t>.</w:t>
      </w:r>
    </w:p>
    <w:p>
      <w:pPr>
        <w:pStyle w:val="BodyText"/>
        <w:spacing w:before="8"/>
        <w:rPr>
          <w:sz w:val="19"/>
        </w:rPr>
      </w:pPr>
    </w:p>
    <w:p>
      <w:pPr>
        <w:pStyle w:val="BodyText"/>
        <w:spacing w:line="276" w:lineRule="auto" w:before="1"/>
        <w:ind w:left="2096" w:right="2390"/>
        <w:jc w:val="both"/>
      </w:pPr>
      <w:r>
        <w:rPr/>
        <w:t>The Annual Report covers a further period of heightened demand in requests for the services of the Integrity Commissioner including requests for advice; requests in relation to the conduct of lobbyists; and invitations for education, training, and other sessions in line with the public awareness raising function of the Integrity</w:t>
      </w:r>
      <w:r>
        <w:rPr>
          <w:spacing w:val="-9"/>
        </w:rPr>
        <w:t> </w:t>
      </w:r>
      <w:r>
        <w:rPr/>
        <w:t>Commissioner.</w:t>
      </w:r>
    </w:p>
    <w:p>
      <w:pPr>
        <w:pStyle w:val="BodyText"/>
        <w:spacing w:before="8"/>
        <w:rPr>
          <w:sz w:val="19"/>
        </w:rPr>
      </w:pPr>
    </w:p>
    <w:p>
      <w:pPr>
        <w:pStyle w:val="BodyText"/>
        <w:spacing w:line="276" w:lineRule="auto"/>
        <w:ind w:left="2096" w:right="2391"/>
        <w:jc w:val="both"/>
      </w:pPr>
      <w:r>
        <w:rPr/>
        <w:t>I am fortunate to enjoy the assistance and dedication of my staff who have supported me to fulfil my statutory obligations, and I wish to extend my gratitude to them. As well, I would like to congratulate those in public office and public institutions who have responded to the community’s desire for a heightened level of integrity and ethical awareness in the public sector.</w:t>
      </w:r>
    </w:p>
    <w:p>
      <w:pPr>
        <w:pStyle w:val="BodyText"/>
        <w:spacing w:before="8"/>
        <w:rPr>
          <w:sz w:val="19"/>
        </w:rPr>
      </w:pPr>
    </w:p>
    <w:p>
      <w:pPr>
        <w:pStyle w:val="BodyText"/>
        <w:spacing w:line="276" w:lineRule="auto"/>
        <w:ind w:left="2096" w:right="2397"/>
        <w:jc w:val="both"/>
      </w:pPr>
      <w:r>
        <w:rPr/>
        <w:t>I confirm the Annual Report complies with section 85 of the </w:t>
      </w:r>
      <w:r>
        <w:rPr>
          <w:i/>
        </w:rPr>
        <w:t>Integrity Act 2009. </w:t>
      </w:r>
      <w:r>
        <w:rPr/>
        <w:t>I also confirm the Annual Report is in general terms and does not contain information likely to identify advisees.</w:t>
      </w:r>
    </w:p>
    <w:p>
      <w:pPr>
        <w:pStyle w:val="BodyText"/>
        <w:spacing w:before="8"/>
        <w:rPr>
          <w:sz w:val="19"/>
        </w:rPr>
      </w:pPr>
    </w:p>
    <w:p>
      <w:pPr>
        <w:pStyle w:val="BodyText"/>
        <w:ind w:left="2096"/>
      </w:pPr>
      <w:r>
        <w:rPr/>
        <w:t>Yours sincerely</w:t>
      </w:r>
    </w:p>
    <w:p>
      <w:pPr>
        <w:pStyle w:val="BodyText"/>
      </w:pPr>
    </w:p>
    <w:p>
      <w:pPr>
        <w:pStyle w:val="BodyText"/>
      </w:pPr>
    </w:p>
    <w:p>
      <w:pPr>
        <w:pStyle w:val="BodyText"/>
      </w:pPr>
    </w:p>
    <w:p>
      <w:pPr>
        <w:pStyle w:val="BodyText"/>
      </w:pPr>
    </w:p>
    <w:p>
      <w:pPr>
        <w:pStyle w:val="BodyText"/>
        <w:spacing w:before="2"/>
        <w:rPr>
          <w:sz w:val="23"/>
        </w:rPr>
      </w:pPr>
    </w:p>
    <w:p>
      <w:pPr>
        <w:pStyle w:val="BodyText"/>
        <w:ind w:left="2096"/>
      </w:pPr>
      <w:r>
        <w:rPr/>
        <w:t>Dr Nikola Stepanov PhD (Melb.)</w:t>
      </w:r>
    </w:p>
    <w:p>
      <w:pPr>
        <w:pStyle w:val="Heading6"/>
        <w:spacing w:before="37"/>
        <w:ind w:left="2096"/>
      </w:pPr>
      <w:r>
        <w:rPr/>
        <w:t>Queensland Integrity Commissioner</w:t>
      </w:r>
    </w:p>
    <w:p>
      <w:pPr>
        <w:pStyle w:val="BodyText"/>
        <w:spacing w:before="9"/>
        <w:rPr>
          <w:b/>
          <w:sz w:val="17"/>
        </w:rPr>
      </w:pPr>
    </w:p>
    <w:p>
      <w:pPr>
        <w:pStyle w:val="BodyText"/>
        <w:ind w:left="2096"/>
      </w:pPr>
      <w:r>
        <w:rPr/>
        <w:t>30 September 2020</w:t>
      </w:r>
    </w:p>
    <w:p>
      <w:pPr>
        <w:spacing w:after="0"/>
        <w:sectPr>
          <w:footerReference w:type="default" r:id="rId9"/>
          <w:pgSz w:w="16840" w:h="11910" w:orient="landscape"/>
          <w:pgMar w:footer="360" w:header="0" w:top="1080" w:bottom="540" w:left="580" w:right="620"/>
        </w:sectPr>
      </w:pPr>
    </w:p>
    <w:p>
      <w:pPr>
        <w:pStyle w:val="BodyText"/>
        <w:spacing w:before="1"/>
        <w:rPr>
          <w:sz w:val="25"/>
        </w:rPr>
      </w:pPr>
    </w:p>
    <w:p>
      <w:pPr>
        <w:spacing w:after="0"/>
        <w:rPr>
          <w:sz w:val="25"/>
        </w:rPr>
        <w:sectPr>
          <w:footerReference w:type="default" r:id="rId12"/>
          <w:pgSz w:w="16840" w:h="11910" w:orient="landscape"/>
          <w:pgMar w:footer="0" w:header="0" w:top="1100" w:bottom="0" w:left="580" w:right="620"/>
        </w:sectPr>
      </w:pPr>
    </w:p>
    <w:p>
      <w:pPr>
        <w:spacing w:before="35"/>
        <w:ind w:left="747" w:right="0" w:firstLine="0"/>
        <w:jc w:val="left"/>
        <w:rPr>
          <w:b/>
          <w:sz w:val="32"/>
        </w:rPr>
      </w:pPr>
      <w:r>
        <w:rPr>
          <w:b/>
          <w:w w:val="105"/>
          <w:sz w:val="32"/>
        </w:rPr>
        <w:t>Welcome</w:t>
      </w:r>
    </w:p>
    <w:p>
      <w:pPr>
        <w:pStyle w:val="BodyText"/>
        <w:spacing w:line="276" w:lineRule="auto" w:before="57"/>
        <w:ind w:left="747"/>
        <w:jc w:val="both"/>
      </w:pPr>
      <w:r>
        <w:rPr/>
        <w:t>This Annual Report covers the 2019–2020 financial year, and draws to a close my third year as the Queensland Integrity Commissioner, and the final year of my first term of appointment. His Excellency, the Honourable Paul de Jersey AC, Governor of Queensland, acting by and with advice of the Executive Council, approved my reappointment for a further term of three years from 1 July 2020.</w:t>
      </w:r>
    </w:p>
    <w:p>
      <w:pPr>
        <w:pStyle w:val="BodyText"/>
        <w:spacing w:line="276" w:lineRule="auto" w:before="121"/>
        <w:ind w:left="747"/>
        <w:jc w:val="both"/>
      </w:pPr>
      <w:r>
        <w:rPr/>
        <w:t>This financial year was the third year of significant heightened demand for advice on ethics and integrity issues, and also advice about the conduct of unregistered and registered lobbyists. We received 342 formal requests for advice, of which 307 were in relation to ethics and integrity advice, and 35 were regarding lobbing. I responded with 196 formal written advices on ethics and integrity matters, and 10 formal advices on lobbying matters. Remaining requests were appropriately dealt with in other ways to ensure the advisee’s need was not unmet, and I detail these actions later in this report.</w:t>
      </w:r>
    </w:p>
    <w:p>
      <w:pPr>
        <w:pStyle w:val="BodyText"/>
        <w:spacing w:line="276" w:lineRule="auto" w:before="121"/>
        <w:ind w:left="747" w:right="1"/>
        <w:jc w:val="both"/>
      </w:pPr>
      <w:r>
        <w:rPr/>
        <w:t>The continued increase in demand for advice suggests that users value the unique advisory service our office provides and, in my view, is indicative of an ongoing commitment to ethics and integrity by those with public responsibilities.</w:t>
      </w:r>
    </w:p>
    <w:p>
      <w:pPr>
        <w:pStyle w:val="BodyText"/>
        <w:spacing w:line="276" w:lineRule="auto" w:before="120"/>
        <w:ind w:left="747" w:right="3"/>
        <w:jc w:val="both"/>
      </w:pPr>
      <w:r>
        <w:rPr/>
        <w:t>As I have highlighted in previous years, sustaining a high quality and effective service, with a very small staff, in the face of extraordinary demand is the primary issue that I face on a day to day basis. As well, matters on which my advice are being sought are becoming increasingly more complex and less visible, and therefore consuming more</w:t>
      </w:r>
    </w:p>
    <w:p>
      <w:pPr>
        <w:pStyle w:val="BodyText"/>
      </w:pPr>
      <w:r>
        <w:rPr/>
        <w:br w:type="column"/>
      </w:r>
      <w:r>
        <w:rPr/>
      </w:r>
    </w:p>
    <w:p>
      <w:pPr>
        <w:pStyle w:val="BodyText"/>
        <w:spacing w:before="9"/>
        <w:rPr>
          <w:sz w:val="18"/>
        </w:rPr>
      </w:pPr>
    </w:p>
    <w:p>
      <w:pPr>
        <w:pStyle w:val="BodyText"/>
        <w:spacing w:line="276" w:lineRule="auto"/>
        <w:ind w:left="91" w:right="702"/>
        <w:jc w:val="both"/>
      </w:pPr>
      <w:r>
        <w:rPr/>
        <w:t>time and efforts. Indeed, it is not uncommon for there to be little general law or research on which to rely when setting the course of an advice on a matter. To that end, my staff and I undertake original research regularly and make our findings available publicly. To ensure robust standards are set, I also seek input widely from appropriate bodies such as the Crime and Corruption Commission and Crown Law, and I am grateful for their</w:t>
      </w:r>
      <w:r>
        <w:rPr>
          <w:spacing w:val="-2"/>
        </w:rPr>
        <w:t> </w:t>
      </w:r>
      <w:r>
        <w:rPr/>
        <w:t>support.</w:t>
      </w:r>
    </w:p>
    <w:p>
      <w:pPr>
        <w:pStyle w:val="BodyText"/>
        <w:spacing w:line="276" w:lineRule="auto" w:before="121"/>
        <w:ind w:left="91" w:right="703"/>
        <w:jc w:val="both"/>
      </w:pPr>
      <w:r>
        <w:rPr/>
        <w:t>I continue to be deeply committed to raising public awareness of ethics and integrity issues, including among public office holders and public servants. However, I acknowledge that the heightened demand for advice, and the fact that I am unable to delegate the formal advice function, limits my ability to conduct as many workshops and training sessions as I would prefer.</w:t>
      </w:r>
    </w:p>
    <w:p>
      <w:pPr>
        <w:pStyle w:val="BodyText"/>
        <w:spacing w:line="276" w:lineRule="auto" w:before="120"/>
        <w:ind w:left="91" w:right="701"/>
        <w:jc w:val="both"/>
      </w:pPr>
      <w:r>
        <w:rPr/>
        <w:t>Certainly, I remain encouraged by the number of designated persons seeking advice on complex ethical and integrity issues, and I am very pleased about ongoing work and engagements with our collaborative partners, particularly the other members of the Integrity Committee, discussed later in this</w:t>
      </w:r>
      <w:r>
        <w:rPr>
          <w:spacing w:val="-5"/>
        </w:rPr>
        <w:t> </w:t>
      </w:r>
      <w:r>
        <w:rPr/>
        <w:t>report.</w:t>
      </w:r>
    </w:p>
    <w:p>
      <w:pPr>
        <w:pStyle w:val="BodyText"/>
      </w:pPr>
    </w:p>
    <w:p>
      <w:pPr>
        <w:pStyle w:val="BodyText"/>
      </w:pPr>
    </w:p>
    <w:p>
      <w:pPr>
        <w:pStyle w:val="BodyText"/>
      </w:pPr>
    </w:p>
    <w:p>
      <w:pPr>
        <w:pStyle w:val="BodyText"/>
        <w:spacing w:before="1"/>
      </w:pPr>
    </w:p>
    <w:p>
      <w:pPr>
        <w:pStyle w:val="BodyText"/>
        <w:ind w:left="259"/>
      </w:pPr>
      <w:r>
        <w:rPr/>
        <w:t>Dr Nikola Stepanov</w:t>
      </w:r>
    </w:p>
    <w:p>
      <w:pPr>
        <w:pStyle w:val="BodyText"/>
        <w:spacing w:before="1"/>
        <w:ind w:left="259"/>
      </w:pPr>
      <w:r>
        <w:rPr/>
        <w:t>Queensland Integrity Commissioner</w:t>
      </w:r>
    </w:p>
    <w:p>
      <w:pPr>
        <w:spacing w:after="0"/>
        <w:sectPr>
          <w:type w:val="continuous"/>
          <w:pgSz w:w="16840" w:h="11910" w:orient="landscape"/>
          <w:pgMar w:top="1100" w:bottom="280" w:left="580" w:right="620"/>
          <w:cols w:num="2" w:equalWidth="0">
            <w:col w:w="7776" w:space="40"/>
            <w:col w:w="7824"/>
          </w:cols>
        </w:sectPr>
      </w:pPr>
    </w:p>
    <w:p>
      <w:pPr>
        <w:pStyle w:val="BodyText"/>
      </w:pPr>
    </w:p>
    <w:p>
      <w:pPr>
        <w:pStyle w:val="BodyText"/>
      </w:pPr>
    </w:p>
    <w:p>
      <w:pPr>
        <w:pStyle w:val="BodyText"/>
      </w:pPr>
    </w:p>
    <w:p>
      <w:pPr>
        <w:spacing w:after="0"/>
        <w:sectPr>
          <w:type w:val="continuous"/>
          <w:pgSz w:w="16840" w:h="11910" w:orient="landscape"/>
          <w:pgMar w:top="1100" w:bottom="280" w:left="580" w:right="620"/>
        </w:sectPr>
      </w:pPr>
    </w:p>
    <w:p>
      <w:pPr>
        <w:spacing w:before="35"/>
        <w:ind w:left="2907" w:right="0" w:firstLine="0"/>
        <w:jc w:val="left"/>
        <w:rPr>
          <w:b/>
          <w:sz w:val="32"/>
        </w:rPr>
      </w:pPr>
      <w:r>
        <w:rPr>
          <w:b/>
          <w:w w:val="110"/>
          <w:sz w:val="32"/>
        </w:rPr>
        <w:t>Contents</w:t>
      </w:r>
    </w:p>
    <w:p>
      <w:pPr>
        <w:pStyle w:val="ListParagraph"/>
        <w:numPr>
          <w:ilvl w:val="0"/>
          <w:numId w:val="1"/>
        </w:numPr>
        <w:tabs>
          <w:tab w:pos="3010" w:val="left" w:leader="none"/>
          <w:tab w:pos="6841" w:val="left" w:leader="dot"/>
        </w:tabs>
        <w:spacing w:line="240" w:lineRule="auto" w:before="57" w:after="0"/>
        <w:ind w:left="3009" w:right="0" w:hanging="103"/>
        <w:jc w:val="left"/>
        <w:rPr>
          <w:sz w:val="20"/>
        </w:rPr>
      </w:pPr>
      <w:r>
        <w:rPr>
          <w:sz w:val="20"/>
        </w:rPr>
        <w:t>About</w:t>
      </w:r>
      <w:r>
        <w:rPr>
          <w:spacing w:val="-1"/>
          <w:sz w:val="20"/>
        </w:rPr>
        <w:t> </w:t>
      </w:r>
      <w:r>
        <w:rPr>
          <w:spacing w:val="-9"/>
          <w:sz w:val="20"/>
        </w:rPr>
        <w:t>Us</w:t>
      </w:r>
    </w:p>
    <w:p>
      <w:pPr>
        <w:pStyle w:val="ListParagraph"/>
        <w:numPr>
          <w:ilvl w:val="0"/>
          <w:numId w:val="1"/>
        </w:numPr>
        <w:tabs>
          <w:tab w:pos="3010" w:val="left" w:leader="none"/>
          <w:tab w:pos="5564" w:val="left" w:leader="dot"/>
        </w:tabs>
        <w:spacing w:line="240" w:lineRule="auto" w:before="118" w:after="0"/>
        <w:ind w:left="3009" w:right="0" w:hanging="103"/>
        <w:jc w:val="left"/>
        <w:rPr>
          <w:sz w:val="20"/>
        </w:rPr>
      </w:pPr>
      <w:r>
        <w:rPr>
          <w:sz w:val="20"/>
        </w:rPr>
        <w:t>Strategic Plan</w:t>
      </w:r>
      <w:r>
        <w:rPr>
          <w:spacing w:val="-2"/>
          <w:sz w:val="20"/>
        </w:rPr>
        <w:t> </w:t>
      </w:r>
      <w:r>
        <w:rPr>
          <w:sz w:val="20"/>
        </w:rPr>
        <w:t>2019-2022</w:t>
      </w:r>
    </w:p>
    <w:p>
      <w:pPr>
        <w:pStyle w:val="ListParagraph"/>
        <w:numPr>
          <w:ilvl w:val="0"/>
          <w:numId w:val="1"/>
        </w:numPr>
        <w:tabs>
          <w:tab w:pos="3010" w:val="left" w:leader="none"/>
          <w:tab w:pos="6822" w:val="left" w:leader="dot"/>
        </w:tabs>
        <w:spacing w:line="240" w:lineRule="auto" w:before="121" w:after="0"/>
        <w:ind w:left="3009" w:right="0" w:hanging="103"/>
        <w:jc w:val="left"/>
        <w:rPr>
          <w:sz w:val="20"/>
        </w:rPr>
      </w:pPr>
      <w:r>
        <w:rPr>
          <w:spacing w:val="-3"/>
          <w:sz w:val="20"/>
        </w:rPr>
        <w:t>Overview</w:t>
      </w:r>
    </w:p>
    <w:p>
      <w:pPr>
        <w:pStyle w:val="BodyText"/>
        <w:tabs>
          <w:tab w:pos="5754" w:val="left" w:leader="dot"/>
        </w:tabs>
        <w:spacing w:before="120"/>
        <w:ind w:left="2907"/>
      </w:pPr>
      <w:r>
        <w:rPr>
          <w:b/>
        </w:rPr>
        <w:t>7</w:t>
        <w:tab/>
      </w:r>
      <w:r>
        <w:rPr/>
        <w:t>2019–2020</w:t>
      </w:r>
      <w:r>
        <w:rPr>
          <w:spacing w:val="-12"/>
        </w:rPr>
        <w:t> </w:t>
      </w:r>
      <w:r>
        <w:rPr/>
        <w:t>Dashboard</w:t>
      </w:r>
    </w:p>
    <w:p>
      <w:pPr>
        <w:pStyle w:val="BodyText"/>
        <w:tabs>
          <w:tab w:pos="6296" w:val="left" w:leader="dot"/>
        </w:tabs>
        <w:spacing w:before="121"/>
        <w:ind w:left="2907"/>
      </w:pPr>
      <w:r>
        <w:rPr>
          <w:b/>
        </w:rPr>
        <w:t>8</w:t>
        <w:tab/>
      </w:r>
      <w:r>
        <w:rPr/>
        <w:t>Advice</w:t>
      </w:r>
      <w:r>
        <w:rPr>
          <w:spacing w:val="3"/>
        </w:rPr>
        <w:t> </w:t>
      </w:r>
      <w:r>
        <w:rPr>
          <w:spacing w:val="-3"/>
        </w:rPr>
        <w:t>Function</w:t>
      </w:r>
    </w:p>
    <w:p>
      <w:pPr>
        <w:pStyle w:val="BodyText"/>
        <w:rPr>
          <w:sz w:val="22"/>
        </w:rPr>
      </w:pPr>
      <w:r>
        <w:rPr/>
        <w:br w:type="column"/>
      </w:r>
      <w:r>
        <w:rPr>
          <w:sz w:val="22"/>
        </w:rPr>
      </w:r>
    </w:p>
    <w:p>
      <w:pPr>
        <w:pStyle w:val="BodyText"/>
        <w:spacing w:before="9"/>
        <w:rPr>
          <w:sz w:val="16"/>
        </w:rPr>
      </w:pPr>
    </w:p>
    <w:p>
      <w:pPr>
        <w:pStyle w:val="BodyText"/>
        <w:tabs>
          <w:tab w:pos="3700" w:val="left" w:leader="dot"/>
        </w:tabs>
        <w:ind w:left="450"/>
      </w:pPr>
      <w:r>
        <w:rPr>
          <w:b/>
        </w:rPr>
        <w:t>11</w:t>
        <w:tab/>
      </w:r>
      <w:r>
        <w:rPr/>
        <w:t>Lobbyist</w:t>
      </w:r>
      <w:r>
        <w:rPr>
          <w:spacing w:val="-13"/>
        </w:rPr>
        <w:t> </w:t>
      </w:r>
      <w:r>
        <w:rPr/>
        <w:t>Function</w:t>
      </w:r>
    </w:p>
    <w:p>
      <w:pPr>
        <w:pStyle w:val="BodyText"/>
        <w:tabs>
          <w:tab w:pos="2961" w:val="left" w:leader="dot"/>
        </w:tabs>
        <w:spacing w:before="121"/>
        <w:ind w:left="450"/>
      </w:pPr>
      <w:r>
        <w:rPr>
          <w:b/>
        </w:rPr>
        <w:t>13</w:t>
        <w:tab/>
      </w:r>
      <w:r>
        <w:rPr/>
        <w:t>Public Awareness</w:t>
      </w:r>
      <w:r>
        <w:rPr>
          <w:spacing w:val="-10"/>
        </w:rPr>
        <w:t> </w:t>
      </w:r>
      <w:r>
        <w:rPr/>
        <w:t>Function</w:t>
      </w:r>
    </w:p>
    <w:p>
      <w:pPr>
        <w:pStyle w:val="ListParagraph"/>
        <w:numPr>
          <w:ilvl w:val="0"/>
          <w:numId w:val="2"/>
        </w:numPr>
        <w:tabs>
          <w:tab w:pos="654" w:val="left" w:leader="none"/>
          <w:tab w:pos="2987" w:val="left" w:leader="dot"/>
        </w:tabs>
        <w:spacing w:line="240" w:lineRule="auto" w:before="118" w:after="0"/>
        <w:ind w:left="653" w:right="0" w:hanging="204"/>
        <w:jc w:val="left"/>
        <w:rPr>
          <w:sz w:val="20"/>
        </w:rPr>
      </w:pPr>
      <w:r>
        <w:rPr>
          <w:sz w:val="20"/>
        </w:rPr>
        <w:t>Operational &amp;</w:t>
      </w:r>
      <w:r>
        <w:rPr>
          <w:spacing w:val="-1"/>
          <w:sz w:val="20"/>
        </w:rPr>
        <w:t> </w:t>
      </w:r>
      <w:r>
        <w:rPr>
          <w:sz w:val="20"/>
        </w:rPr>
        <w:t>Compliance</w:t>
      </w:r>
    </w:p>
    <w:p>
      <w:pPr>
        <w:pStyle w:val="ListParagraph"/>
        <w:numPr>
          <w:ilvl w:val="0"/>
          <w:numId w:val="2"/>
        </w:numPr>
        <w:tabs>
          <w:tab w:pos="654" w:val="left" w:leader="none"/>
          <w:tab w:pos="3465" w:val="left" w:leader="dot"/>
        </w:tabs>
        <w:spacing w:line="240" w:lineRule="auto" w:before="120" w:after="0"/>
        <w:ind w:left="653" w:right="0" w:hanging="204"/>
        <w:jc w:val="left"/>
        <w:rPr>
          <w:sz w:val="20"/>
        </w:rPr>
      </w:pPr>
      <w:r>
        <w:rPr>
          <w:sz w:val="20"/>
        </w:rPr>
        <w:t>Staffing &amp;</w:t>
      </w:r>
      <w:r>
        <w:rPr>
          <w:spacing w:val="-2"/>
          <w:sz w:val="20"/>
        </w:rPr>
        <w:t> </w:t>
      </w:r>
      <w:r>
        <w:rPr>
          <w:sz w:val="20"/>
        </w:rPr>
        <w:t>Resources</w:t>
      </w:r>
    </w:p>
    <w:p>
      <w:pPr>
        <w:pStyle w:val="ListParagraph"/>
        <w:numPr>
          <w:ilvl w:val="0"/>
          <w:numId w:val="2"/>
        </w:numPr>
        <w:tabs>
          <w:tab w:pos="654" w:val="left" w:leader="none"/>
          <w:tab w:pos="3523" w:val="left" w:leader="dot"/>
        </w:tabs>
        <w:spacing w:line="240" w:lineRule="auto" w:before="122" w:after="0"/>
        <w:ind w:left="653" w:right="0" w:hanging="204"/>
        <w:jc w:val="left"/>
        <w:rPr>
          <w:sz w:val="20"/>
        </w:rPr>
      </w:pPr>
      <w:r>
        <w:rPr>
          <w:sz w:val="20"/>
        </w:rPr>
        <w:t>Financial</w:t>
      </w:r>
      <w:r>
        <w:rPr>
          <w:spacing w:val="-2"/>
          <w:sz w:val="20"/>
        </w:rPr>
        <w:t> </w:t>
      </w:r>
      <w:r>
        <w:rPr>
          <w:sz w:val="20"/>
        </w:rPr>
        <w:t>Statement</w:t>
      </w:r>
    </w:p>
    <w:p>
      <w:pPr>
        <w:spacing w:after="0" w:line="240" w:lineRule="auto"/>
        <w:jc w:val="left"/>
        <w:rPr>
          <w:sz w:val="20"/>
        </w:rPr>
        <w:sectPr>
          <w:type w:val="continuous"/>
          <w:pgSz w:w="16840" w:h="11910" w:orient="landscape"/>
          <w:pgMar w:top="1100" w:bottom="280" w:left="580" w:right="620"/>
          <w:cols w:num="2" w:equalWidth="0">
            <w:col w:w="7592" w:space="40"/>
            <w:col w:w="8008"/>
          </w:cols>
        </w:sectPr>
      </w:pPr>
    </w:p>
    <w:p>
      <w:pPr>
        <w:pStyle w:val="BodyText"/>
      </w:pPr>
      <w:r>
        <w:rPr/>
        <w:pict>
          <v:rect style="position:absolute;margin-left:0pt;margin-top:0pt;width:841.919983pt;height:595.319824pt;mso-position-horizontal-relative:page;mso-position-vertical-relative:page;z-index:-16425472" filled="true" fillcolor="#f9f9f9" stroked="false">
            <v:fill type="solid"/>
            <w10:wrap type="none"/>
          </v:rect>
        </w:pict>
      </w:r>
      <w:r>
        <w:rPr/>
        <w:pict>
          <v:group style="position:absolute;margin-left:35.955002pt;margin-top:35.316006pt;width:769.9pt;height:523.9500pt;mso-position-horizontal-relative:page;mso-position-vertical-relative:page;z-index:-16424960" coordorigin="719,706" coordsize="15398,10479">
            <v:rect style="position:absolute;left:719;top:706;width:15398;height:10479" filled="true" fillcolor="#afccaf" stroked="false">
              <v:fill type="solid"/>
            </v:rect>
            <v:shape style="position:absolute;left:1184;top:1132;width:14478;height:9768" coordorigin="1184,1133" coordsize="14478,9768" path="m13490,8322l8401,8322,3345,8322,3345,10901,8401,10901,13490,10901,13490,8322xm15662,1133l1184,1133,1184,8002,15662,8002,15662,1133xe" filled="true" fillcolor="#ffffff" stroked="false">
              <v:path arrowok="t"/>
              <v:fill type="solid"/>
            </v:shape>
            <v:shape style="position:absolute;left:8528;top:6573;width:4018;height:741" type="#_x0000_t75" stroked="false">
              <v:imagedata r:id="rId11" o:title=""/>
            </v:shape>
            <w10:wrap type="none"/>
          </v:group>
        </w:pict>
      </w:r>
    </w:p>
    <w:p>
      <w:pPr>
        <w:pStyle w:val="BodyText"/>
        <w:spacing w:before="6"/>
        <w:rPr>
          <w:sz w:val="17"/>
        </w:rPr>
      </w:pPr>
    </w:p>
    <w:p>
      <w:pPr>
        <w:pStyle w:val="BodyText"/>
        <w:spacing w:before="59"/>
        <w:ind w:right="155"/>
        <w:jc w:val="right"/>
      </w:pPr>
      <w:r>
        <w:rPr/>
        <w:t>Page 3</w:t>
      </w:r>
    </w:p>
    <w:p>
      <w:pPr>
        <w:spacing w:after="0"/>
        <w:jc w:val="right"/>
        <w:sectPr>
          <w:type w:val="continuous"/>
          <w:pgSz w:w="16840" w:h="11910" w:orient="landscape"/>
          <w:pgMar w:top="1100" w:bottom="280" w:left="580" w:right="620"/>
        </w:sectPr>
      </w:pPr>
    </w:p>
    <w:p>
      <w:pPr>
        <w:pStyle w:val="Heading2"/>
        <w:spacing w:before="128"/>
        <w:ind w:left="281"/>
      </w:pPr>
      <w:r>
        <w:rPr/>
        <w:pict>
          <v:group style="position:absolute;margin-left:565.900024pt;margin-top:35.970009pt;width:239.95pt;height:523.3pt;mso-position-horizontal-relative:page;mso-position-vertical-relative:page;z-index:15731712" coordorigin="11318,719" coordsize="4799,10466">
            <v:shape style="position:absolute;left:11318;top:719;width:4799;height:10466" coordorigin="11318,719" coordsize="4799,10466" path="m15317,719l12118,719,12041,723,11966,734,11893,751,11824,775,11757,805,11693,841,11634,882,11578,929,11527,980,11481,1035,11440,1095,11404,1158,11374,1225,11350,1295,11332,1367,11322,1442,11318,1519,11318,10385,11322,10462,11332,10537,11350,10610,11374,10679,11404,10746,11440,10809,11481,10869,11527,10925,11578,10976,11634,11022,11693,11063,11757,11099,11824,11129,11893,11153,11966,11170,12041,11181,12118,11185,15317,11185,15394,11181,15469,11170,15541,11153,15611,11129,15678,11099,15741,11063,15801,11022,15856,10976,15907,10925,15954,10869,15995,10809,16031,10746,16061,10679,16085,10610,16102,10537,16113,10462,16117,10385,16117,1519,16113,1442,16102,1367,16085,1295,16061,1225,16031,1158,15995,1095,15954,1035,15907,980,15856,929,15801,882,15741,841,15678,805,15611,775,15541,751,15469,734,15394,723,15317,719xe" filled="true" fillcolor="#e0e1dd" stroked="false">
              <v:path arrowok="t"/>
              <v:fill opacity="49087f" type="solid"/>
            </v:shape>
            <v:shape style="position:absolute;left:13850;top:1633;width:2031;height:1979" type="#_x0000_t75" stroked="false">
              <v:imagedata r:id="rId14" o:title=""/>
            </v:shape>
            <v:shape style="position:absolute;left:11610;top:1058;width:2678;height:905" type="#_x0000_t202" filled="false" stroked="false">
              <v:textbox inset="0,0,0,0">
                <w:txbxContent>
                  <w:p>
                    <w:pPr>
                      <w:spacing w:line="225" w:lineRule="exact" w:before="0"/>
                      <w:ind w:left="0" w:right="0" w:firstLine="0"/>
                      <w:jc w:val="left"/>
                      <w:rPr>
                        <w:b/>
                        <w:sz w:val="22"/>
                      </w:rPr>
                    </w:pPr>
                    <w:r>
                      <w:rPr>
                        <w:b/>
                        <w:w w:val="110"/>
                        <w:sz w:val="22"/>
                      </w:rPr>
                      <w:t>Message from the</w:t>
                    </w:r>
                    <w:r>
                      <w:rPr>
                        <w:b/>
                        <w:spacing w:val="-43"/>
                        <w:w w:val="110"/>
                        <w:sz w:val="22"/>
                      </w:rPr>
                      <w:t> </w:t>
                    </w:r>
                    <w:r>
                      <w:rPr>
                        <w:b/>
                        <w:w w:val="110"/>
                        <w:sz w:val="22"/>
                      </w:rPr>
                      <w:t>Director</w:t>
                    </w:r>
                  </w:p>
                  <w:p>
                    <w:pPr>
                      <w:tabs>
                        <w:tab w:pos="443" w:val="left" w:leader="none"/>
                        <w:tab w:pos="1066" w:val="left" w:leader="none"/>
                        <w:tab w:pos="1405" w:val="left" w:leader="none"/>
                      </w:tabs>
                      <w:spacing w:line="280" w:lineRule="atLeast" w:before="122"/>
                      <w:ind w:left="0" w:right="1098" w:firstLine="0"/>
                      <w:jc w:val="left"/>
                      <w:rPr>
                        <w:sz w:val="20"/>
                      </w:rPr>
                    </w:pPr>
                    <w:r>
                      <w:rPr>
                        <w:sz w:val="20"/>
                      </w:rPr>
                      <w:t>In</w:t>
                      <w:tab/>
                      <w:t>addition</w:t>
                      <w:tab/>
                    </w:r>
                    <w:r>
                      <w:rPr>
                        <w:spacing w:val="-9"/>
                        <w:sz w:val="20"/>
                      </w:rPr>
                      <w:t>to </w:t>
                    </w:r>
                    <w:r>
                      <w:rPr>
                        <w:sz w:val="20"/>
                      </w:rPr>
                      <w:t>functions</w:t>
                      <w:tab/>
                      <w:t>under</w:t>
                    </w:r>
                  </w:p>
                </w:txbxContent>
              </v:textbox>
              <w10:wrap type="none"/>
            </v:shape>
            <v:shape style="position:absolute;left:11610;top:2044;width:1734;height:200" type="#_x0000_t202" filled="false" stroked="false">
              <v:textbox inset="0,0,0,0">
                <w:txbxContent>
                  <w:p>
                    <w:pPr>
                      <w:spacing w:line="199" w:lineRule="exact" w:before="0"/>
                      <w:ind w:left="0" w:right="0" w:firstLine="0"/>
                      <w:jc w:val="left"/>
                      <w:rPr>
                        <w:sz w:val="20"/>
                      </w:rPr>
                    </w:pPr>
                    <w:r>
                      <w:rPr>
                        <w:i/>
                        <w:sz w:val="20"/>
                      </w:rPr>
                      <w:t>Integrity Act 2009</w:t>
                    </w:r>
                    <w:r>
                      <w:rPr>
                        <w:sz w:val="20"/>
                      </w:rPr>
                      <w:t>,</w:t>
                    </w:r>
                  </w:p>
                </w:txbxContent>
              </v:textbox>
              <w10:wrap type="none"/>
            </v:shape>
            <v:shape style="position:absolute;left:13473;top:1483;width:294;height:761" type="#_x0000_t202" filled="false" stroked="false">
              <v:textbox inset="0,0,0,0">
                <w:txbxContent>
                  <w:p>
                    <w:pPr>
                      <w:spacing w:line="203" w:lineRule="exact" w:before="0"/>
                      <w:ind w:left="0" w:right="0" w:firstLine="0"/>
                      <w:jc w:val="left"/>
                      <w:rPr>
                        <w:sz w:val="20"/>
                      </w:rPr>
                    </w:pPr>
                    <w:r>
                      <w:rPr>
                        <w:sz w:val="20"/>
                      </w:rPr>
                      <w:t>her</w:t>
                    </w:r>
                  </w:p>
                  <w:p>
                    <w:pPr>
                      <w:spacing w:line="280" w:lineRule="atLeast" w:before="1"/>
                      <w:ind w:left="1" w:right="1" w:firstLine="0"/>
                      <w:jc w:val="left"/>
                      <w:rPr>
                        <w:sz w:val="20"/>
                      </w:rPr>
                    </w:pPr>
                    <w:r>
                      <w:rPr>
                        <w:sz w:val="20"/>
                      </w:rPr>
                      <w:t>the the</w:t>
                    </w:r>
                  </w:p>
                </w:txbxContent>
              </v:textbox>
              <w10:wrap type="none"/>
            </v:shape>
            <v:shape style="position:absolute;left:11610;top:2325;width:4235;height:8542" type="#_x0000_t202" filled="false" stroked="false">
              <v:textbox inset="0,0,0,0">
                <w:txbxContent>
                  <w:p>
                    <w:pPr>
                      <w:spacing w:line="203" w:lineRule="exact" w:before="0"/>
                      <w:ind w:left="0" w:right="0" w:firstLine="0"/>
                      <w:jc w:val="both"/>
                      <w:rPr>
                        <w:sz w:val="20"/>
                      </w:rPr>
                    </w:pPr>
                    <w:r>
                      <w:rPr>
                        <w:sz w:val="20"/>
                      </w:rPr>
                      <w:t>Integrity Commissioner</w:t>
                    </w:r>
                  </w:p>
                  <w:p>
                    <w:pPr>
                      <w:spacing w:line="276" w:lineRule="auto" w:before="36"/>
                      <w:ind w:left="0" w:right="2093" w:firstLine="0"/>
                      <w:jc w:val="both"/>
                      <w:rPr>
                        <w:sz w:val="20"/>
                      </w:rPr>
                    </w:pPr>
                    <w:r>
                      <w:rPr>
                        <w:sz w:val="20"/>
                      </w:rPr>
                      <w:t>must satisfy many of the statutory obligations of an office, including </w:t>
                    </w:r>
                    <w:r>
                      <w:rPr>
                        <w:spacing w:val="-5"/>
                        <w:sz w:val="20"/>
                      </w:rPr>
                      <w:t>the </w:t>
                    </w:r>
                    <w:r>
                      <w:rPr>
                        <w:sz w:val="20"/>
                      </w:rPr>
                      <w:t>provision of this</w:t>
                    </w:r>
                    <w:r>
                      <w:rPr>
                        <w:spacing w:val="-7"/>
                        <w:sz w:val="20"/>
                      </w:rPr>
                      <w:t> </w:t>
                    </w:r>
                    <w:r>
                      <w:rPr>
                        <w:sz w:val="20"/>
                      </w:rPr>
                      <w:t>report.</w:t>
                    </w:r>
                  </w:p>
                  <w:p>
                    <w:pPr>
                      <w:spacing w:line="276" w:lineRule="auto" w:before="121"/>
                      <w:ind w:left="0" w:right="20" w:firstLine="0"/>
                      <w:jc w:val="both"/>
                      <w:rPr>
                        <w:sz w:val="20"/>
                      </w:rPr>
                    </w:pPr>
                    <w:r>
                      <w:rPr>
                        <w:sz w:val="20"/>
                      </w:rPr>
                      <w:t>At the time of preparing this report, this office had three full-time staff assisting the Commissioner. All staff must therefore work together on major tasks. This presents both rewarding opportunities for</w:t>
                    </w:r>
                    <w:r>
                      <w:rPr>
                        <w:spacing w:val="-19"/>
                        <w:sz w:val="20"/>
                      </w:rPr>
                      <w:t> </w:t>
                    </w:r>
                    <w:r>
                      <w:rPr>
                        <w:sz w:val="20"/>
                      </w:rPr>
                      <w:t>staff involvement and additional challenges in meeting all statutory</w:t>
                    </w:r>
                    <w:r>
                      <w:rPr>
                        <w:spacing w:val="-1"/>
                        <w:sz w:val="20"/>
                      </w:rPr>
                      <w:t> </w:t>
                    </w:r>
                    <w:r>
                      <w:rPr>
                        <w:sz w:val="20"/>
                      </w:rPr>
                      <w:t>functions.</w:t>
                    </w:r>
                  </w:p>
                  <w:p>
                    <w:pPr>
                      <w:spacing w:line="276" w:lineRule="auto" w:before="118"/>
                      <w:ind w:left="0" w:right="18" w:firstLine="0"/>
                      <w:jc w:val="both"/>
                      <w:rPr>
                        <w:sz w:val="20"/>
                      </w:rPr>
                    </w:pPr>
                    <w:r>
                      <w:rPr>
                        <w:sz w:val="20"/>
                      </w:rPr>
                      <w:t>There was an increase during the year in the number of queries specifically related to lobbying. There are various exemptions under the lobbing provisions of the </w:t>
                    </w:r>
                    <w:r>
                      <w:rPr>
                        <w:i/>
                        <w:sz w:val="20"/>
                      </w:rPr>
                      <w:t>Integrity Act 2009 </w:t>
                    </w:r>
                    <w:r>
                      <w:rPr>
                        <w:sz w:val="20"/>
                      </w:rPr>
                      <w:t>and limited case law to guide interpretation. In response, this office has published its views and interpretations in relation to common questions, and will continue to add to these over time. This office also completed an enhanced audit of lobbying activity during the financial year with the assistance of state and local government</w:t>
                    </w:r>
                    <w:r>
                      <w:rPr>
                        <w:spacing w:val="-1"/>
                        <w:sz w:val="20"/>
                      </w:rPr>
                      <w:t> </w:t>
                    </w:r>
                    <w:r>
                      <w:rPr>
                        <w:sz w:val="20"/>
                      </w:rPr>
                      <w:t>agencies.</w:t>
                    </w:r>
                  </w:p>
                  <w:p>
                    <w:pPr>
                      <w:spacing w:line="276" w:lineRule="auto" w:before="121"/>
                      <w:ind w:left="0" w:right="19" w:firstLine="0"/>
                      <w:jc w:val="both"/>
                      <w:rPr>
                        <w:sz w:val="20"/>
                      </w:rPr>
                    </w:pPr>
                    <w:r>
                      <w:rPr>
                        <w:sz w:val="20"/>
                      </w:rPr>
                      <w:t>Finally, a major change for the office during the year involved amendments to the Ministerial Code of Conduct. While the amendments inherently increase the Commissioner’s workload, it also brings forward the consideration of potential conflicts before matters</w:t>
                    </w:r>
                    <w:r>
                      <w:rPr>
                        <w:spacing w:val="-7"/>
                        <w:sz w:val="20"/>
                      </w:rPr>
                      <w:t> </w:t>
                    </w:r>
                    <w:r>
                      <w:rPr>
                        <w:sz w:val="20"/>
                      </w:rPr>
                      <w:t>arise.</w:t>
                    </w:r>
                  </w:p>
                  <w:p>
                    <w:pPr>
                      <w:spacing w:line="240" w:lineRule="exact" w:before="121"/>
                      <w:ind w:left="2518" w:right="0" w:firstLine="0"/>
                      <w:jc w:val="both"/>
                      <w:rPr>
                        <w:i/>
                        <w:sz w:val="20"/>
                      </w:rPr>
                    </w:pPr>
                    <w:r>
                      <w:rPr>
                        <w:sz w:val="20"/>
                      </w:rPr>
                      <w:t>– </w:t>
                    </w:r>
                    <w:r>
                      <w:rPr>
                        <w:i/>
                        <w:sz w:val="20"/>
                      </w:rPr>
                      <w:t>Mr Michael Vickers</w:t>
                    </w:r>
                  </w:p>
                </w:txbxContent>
              </v:textbox>
              <w10:wrap type="none"/>
            </v:shape>
            <w10:wrap type="none"/>
          </v:group>
        </w:pict>
      </w:r>
      <w:r>
        <w:rPr>
          <w:color w:val="71A276"/>
          <w:w w:val="105"/>
        </w:rPr>
        <w:t>About Us</w:t>
      </w:r>
    </w:p>
    <w:p>
      <w:pPr>
        <w:pStyle w:val="Heading6"/>
        <w:spacing w:before="74"/>
        <w:ind w:left="281"/>
      </w:pPr>
      <w:r>
        <w:rPr>
          <w:w w:val="105"/>
        </w:rPr>
        <w:t>The Queensland Integrity Commissioner</w:t>
      </w:r>
    </w:p>
    <w:p>
      <w:pPr>
        <w:pStyle w:val="BodyText"/>
        <w:spacing w:line="276" w:lineRule="auto" w:before="157"/>
        <w:ind w:left="281" w:right="1373"/>
        <w:jc w:val="both"/>
      </w:pPr>
      <w:r>
        <w:rPr/>
        <w:t>The role of the Queensland Integrity Commissioner was initially established</w:t>
      </w:r>
    </w:p>
    <w:p>
      <w:pPr>
        <w:spacing w:line="276" w:lineRule="auto" w:before="0"/>
        <w:ind w:left="281" w:right="1533" w:firstLine="0"/>
        <w:jc w:val="both"/>
        <w:rPr>
          <w:sz w:val="20"/>
        </w:rPr>
      </w:pPr>
      <w:r>
        <w:rPr>
          <w:sz w:val="20"/>
        </w:rPr>
        <w:t>in 1999 under the </w:t>
      </w:r>
      <w:r>
        <w:rPr>
          <w:i/>
          <w:sz w:val="20"/>
        </w:rPr>
        <w:t>Public  Sector  </w:t>
      </w:r>
      <w:r>
        <w:rPr>
          <w:i/>
          <w:sz w:val="20"/>
        </w:rPr>
        <w:t>Ethics Act 1994</w:t>
      </w:r>
      <w:r>
        <w:rPr>
          <w:sz w:val="20"/>
        </w:rPr>
        <w:t>. The </w:t>
      </w:r>
      <w:r>
        <w:rPr>
          <w:i/>
          <w:sz w:val="20"/>
        </w:rPr>
        <w:t>Integrity Act </w:t>
      </w:r>
      <w:r>
        <w:rPr>
          <w:i/>
          <w:sz w:val="20"/>
        </w:rPr>
        <w:t>2009 </w:t>
      </w:r>
      <w:r>
        <w:rPr>
          <w:sz w:val="20"/>
        </w:rPr>
        <w:t>transferred and updated the provisions of the </w:t>
      </w:r>
      <w:r>
        <w:rPr>
          <w:i/>
          <w:sz w:val="20"/>
        </w:rPr>
        <w:t>Public Sector Ethics </w:t>
      </w:r>
      <w:r>
        <w:rPr>
          <w:i/>
          <w:sz w:val="20"/>
        </w:rPr>
        <w:t>Act 1994 </w:t>
      </w:r>
      <w:r>
        <w:rPr>
          <w:sz w:val="20"/>
        </w:rPr>
        <w:t>concerning the Integrity Commissioner, with expanded responsibilities.</w:t>
      </w:r>
    </w:p>
    <w:p>
      <w:pPr>
        <w:pStyle w:val="BodyText"/>
        <w:spacing w:line="276" w:lineRule="auto" w:before="121"/>
        <w:ind w:left="281" w:right="528"/>
      </w:pPr>
      <w:r>
        <w:rPr/>
        <w:t>Dr Nikola Stepanov was appointed by the Governor in Council on 1 July 2017 as</w:t>
      </w:r>
    </w:p>
    <w:p>
      <w:pPr>
        <w:pStyle w:val="BodyText"/>
        <w:ind w:left="281"/>
      </w:pPr>
      <w:r>
        <w:rPr/>
        <w:t>Queensland’s fifth Integrity Commissioner. Her</w:t>
      </w:r>
    </w:p>
    <w:p>
      <w:pPr>
        <w:pStyle w:val="BodyText"/>
        <w:spacing w:line="276" w:lineRule="auto" w:before="37"/>
        <w:ind w:left="281" w:right="40"/>
        <w:jc w:val="both"/>
      </w:pPr>
      <w:r>
        <w:rPr/>
        <w:t>initial appointment was for a three year term. On 2 July 2020, Dr Stepanov was appointed for a further term of three years.</w:t>
      </w:r>
    </w:p>
    <w:p>
      <w:pPr>
        <w:pStyle w:val="BodyText"/>
        <w:spacing w:line="276" w:lineRule="auto" w:before="120"/>
        <w:ind w:left="281" w:right="40"/>
        <w:jc w:val="both"/>
      </w:pPr>
      <w:r>
        <w:rPr/>
        <w:t>Dr Stepanov has spent much of her career in service to the public sector and community. Her background includes:</w:t>
      </w:r>
    </w:p>
    <w:p>
      <w:pPr>
        <w:pStyle w:val="ListParagraph"/>
        <w:numPr>
          <w:ilvl w:val="0"/>
          <w:numId w:val="3"/>
        </w:numPr>
        <w:tabs>
          <w:tab w:pos="641" w:val="left" w:leader="none"/>
          <w:tab w:pos="642" w:val="left" w:leader="none"/>
        </w:tabs>
        <w:spacing w:line="240" w:lineRule="auto" w:before="117" w:after="0"/>
        <w:ind w:left="641" w:right="0" w:hanging="361"/>
        <w:jc w:val="left"/>
        <w:rPr>
          <w:sz w:val="20"/>
        </w:rPr>
      </w:pPr>
      <w:r>
        <w:rPr>
          <w:sz w:val="20"/>
        </w:rPr>
        <w:t>professional ethics and</w:t>
      </w:r>
      <w:r>
        <w:rPr>
          <w:spacing w:val="-3"/>
          <w:sz w:val="20"/>
        </w:rPr>
        <w:t> </w:t>
      </w:r>
      <w:r>
        <w:rPr>
          <w:sz w:val="20"/>
        </w:rPr>
        <w:t>governance</w:t>
      </w:r>
    </w:p>
    <w:p>
      <w:pPr>
        <w:pStyle w:val="ListParagraph"/>
        <w:numPr>
          <w:ilvl w:val="0"/>
          <w:numId w:val="3"/>
        </w:numPr>
        <w:tabs>
          <w:tab w:pos="641" w:val="left" w:leader="none"/>
          <w:tab w:pos="642" w:val="left" w:leader="none"/>
        </w:tabs>
        <w:spacing w:line="240" w:lineRule="auto" w:before="153" w:after="0"/>
        <w:ind w:left="641" w:right="0" w:hanging="361"/>
        <w:jc w:val="left"/>
        <w:rPr>
          <w:sz w:val="20"/>
        </w:rPr>
      </w:pPr>
      <w:r>
        <w:rPr>
          <w:sz w:val="20"/>
        </w:rPr>
        <w:t>research and research</w:t>
      </w:r>
      <w:r>
        <w:rPr>
          <w:spacing w:val="-1"/>
          <w:sz w:val="20"/>
        </w:rPr>
        <w:t> </w:t>
      </w:r>
      <w:r>
        <w:rPr>
          <w:sz w:val="20"/>
        </w:rPr>
        <w:t>regulation</w:t>
      </w:r>
    </w:p>
    <w:p>
      <w:pPr>
        <w:pStyle w:val="ListParagraph"/>
        <w:numPr>
          <w:ilvl w:val="0"/>
          <w:numId w:val="3"/>
        </w:numPr>
        <w:tabs>
          <w:tab w:pos="641" w:val="left" w:leader="none"/>
          <w:tab w:pos="642" w:val="left" w:leader="none"/>
        </w:tabs>
        <w:spacing w:line="240" w:lineRule="auto" w:before="154" w:after="0"/>
        <w:ind w:left="641" w:right="0" w:hanging="361"/>
        <w:jc w:val="left"/>
        <w:rPr>
          <w:sz w:val="20"/>
        </w:rPr>
      </w:pPr>
      <w:r>
        <w:rPr>
          <w:sz w:val="20"/>
        </w:rPr>
        <w:t>mediation and dispute resolution,</w:t>
      </w:r>
      <w:r>
        <w:rPr>
          <w:spacing w:val="-2"/>
          <w:sz w:val="20"/>
        </w:rPr>
        <w:t> </w:t>
      </w:r>
      <w:r>
        <w:rPr>
          <w:sz w:val="20"/>
        </w:rPr>
        <w:t>and</w:t>
      </w:r>
    </w:p>
    <w:p>
      <w:pPr>
        <w:pStyle w:val="ListParagraph"/>
        <w:numPr>
          <w:ilvl w:val="0"/>
          <w:numId w:val="3"/>
        </w:numPr>
        <w:tabs>
          <w:tab w:pos="641" w:val="left" w:leader="none"/>
          <w:tab w:pos="642" w:val="left" w:leader="none"/>
        </w:tabs>
        <w:spacing w:line="240" w:lineRule="auto" w:before="153" w:after="0"/>
        <w:ind w:left="641" w:right="0" w:hanging="361"/>
        <w:jc w:val="left"/>
        <w:rPr>
          <w:sz w:val="20"/>
        </w:rPr>
      </w:pPr>
      <w:r>
        <w:rPr>
          <w:sz w:val="20"/>
        </w:rPr>
        <w:t>board</w:t>
      </w:r>
      <w:r>
        <w:rPr>
          <w:spacing w:val="-1"/>
          <w:sz w:val="20"/>
        </w:rPr>
        <w:t> </w:t>
      </w:r>
      <w:r>
        <w:rPr>
          <w:sz w:val="20"/>
        </w:rPr>
        <w:t>governance.</w:t>
      </w:r>
    </w:p>
    <w:p>
      <w:pPr>
        <w:pStyle w:val="BodyText"/>
        <w:spacing w:line="276" w:lineRule="auto" w:before="157"/>
        <w:ind w:left="281" w:right="42"/>
        <w:jc w:val="both"/>
      </w:pPr>
      <w:r>
        <w:rPr/>
        <w:t>She has particular expertise in resolving complex and contentious conflicts where there are grave personal or governance risks.</w:t>
      </w:r>
    </w:p>
    <w:p>
      <w:pPr>
        <w:pStyle w:val="BodyText"/>
        <w:spacing w:line="276" w:lineRule="auto" w:before="120"/>
        <w:ind w:left="281" w:right="38"/>
        <w:jc w:val="both"/>
      </w:pPr>
      <w:r>
        <w:rPr/>
        <w:t>She holds several degrees, including a Juris Doctor (JD) and a Doctor of Philosophy (PhD). She completed her PhD at the University of Melbourne with the School of Global and Population Health and the Melbourne Medical School.</w:t>
      </w:r>
    </w:p>
    <w:p>
      <w:pPr>
        <w:pStyle w:val="BodyText"/>
        <w:spacing w:before="96"/>
        <w:ind w:left="1539"/>
      </w:pPr>
      <w:r>
        <w:rPr/>
        <w:br w:type="column"/>
      </w:r>
      <w:r>
        <w:rPr/>
        <w:t>Dr Stepanov’s professional accreditation and</w:t>
      </w:r>
    </w:p>
    <w:p>
      <w:pPr>
        <w:pStyle w:val="BodyText"/>
        <w:spacing w:before="37"/>
        <w:ind w:left="1978"/>
      </w:pPr>
      <w:r>
        <w:rPr/>
        <w:drawing>
          <wp:anchor distT="0" distB="0" distL="0" distR="0" allowOverlap="1" layoutInCell="1" locked="0" behindDoc="1" simplePos="0" relativeHeight="486892032">
            <wp:simplePos x="0" y="0"/>
            <wp:positionH relativeFrom="page">
              <wp:posOffset>2538983</wp:posOffset>
            </wp:positionH>
            <wp:positionV relativeFrom="paragraph">
              <wp:posOffset>-136125</wp:posOffset>
            </wp:positionV>
            <wp:extent cx="2725293" cy="2741041"/>
            <wp:effectExtent l="0" t="0" r="0" b="0"/>
            <wp:wrapNone/>
            <wp:docPr id="9" name="image8.png"/>
            <wp:cNvGraphicFramePr>
              <a:graphicFrameLocks noChangeAspect="1"/>
            </wp:cNvGraphicFramePr>
            <a:graphic>
              <a:graphicData uri="http://schemas.openxmlformats.org/drawingml/2006/picture">
                <pic:pic>
                  <pic:nvPicPr>
                    <pic:cNvPr id="10" name="image8.png"/>
                    <pic:cNvPicPr/>
                  </pic:nvPicPr>
                  <pic:blipFill>
                    <a:blip r:embed="rId15" cstate="print"/>
                    <a:stretch>
                      <a:fillRect/>
                    </a:stretch>
                  </pic:blipFill>
                  <pic:spPr>
                    <a:xfrm>
                      <a:off x="0" y="0"/>
                      <a:ext cx="2725293" cy="2741041"/>
                    </a:xfrm>
                    <a:prstGeom prst="rect">
                      <a:avLst/>
                    </a:prstGeom>
                  </pic:spPr>
                </pic:pic>
              </a:graphicData>
            </a:graphic>
          </wp:anchor>
        </w:drawing>
      </w:r>
      <w:r>
        <w:rPr/>
        <w:t>memberships include:</w:t>
      </w:r>
    </w:p>
    <w:p>
      <w:pPr>
        <w:pStyle w:val="ListParagraph"/>
        <w:numPr>
          <w:ilvl w:val="1"/>
          <w:numId w:val="3"/>
        </w:numPr>
        <w:tabs>
          <w:tab w:pos="2886" w:val="left" w:leader="none"/>
        </w:tabs>
        <w:spacing w:line="273" w:lineRule="auto" w:before="153" w:after="0"/>
        <w:ind w:left="2885" w:right="5147" w:hanging="267"/>
        <w:jc w:val="left"/>
        <w:rPr>
          <w:sz w:val="20"/>
        </w:rPr>
      </w:pPr>
      <w:r>
        <w:rPr>
          <w:sz w:val="20"/>
        </w:rPr>
        <w:t>Fellow of the Governance Institute of</w:t>
      </w:r>
      <w:r>
        <w:rPr>
          <w:spacing w:val="-5"/>
          <w:sz w:val="20"/>
        </w:rPr>
        <w:t> </w:t>
      </w:r>
      <w:r>
        <w:rPr>
          <w:sz w:val="20"/>
        </w:rPr>
        <w:t>Australia</w:t>
      </w:r>
    </w:p>
    <w:p>
      <w:pPr>
        <w:pStyle w:val="ListParagraph"/>
        <w:numPr>
          <w:ilvl w:val="1"/>
          <w:numId w:val="3"/>
        </w:numPr>
        <w:tabs>
          <w:tab w:pos="2886" w:val="left" w:leader="none"/>
        </w:tabs>
        <w:spacing w:line="273" w:lineRule="auto" w:before="61" w:after="0"/>
        <w:ind w:left="2885" w:right="5872" w:hanging="267"/>
        <w:jc w:val="left"/>
        <w:rPr>
          <w:sz w:val="20"/>
        </w:rPr>
      </w:pPr>
      <w:r>
        <w:rPr>
          <w:sz w:val="20"/>
        </w:rPr>
        <w:t>Mediator under the National</w:t>
      </w:r>
      <w:r>
        <w:rPr>
          <w:spacing w:val="-3"/>
          <w:sz w:val="20"/>
        </w:rPr>
        <w:t> </w:t>
      </w:r>
      <w:r>
        <w:rPr>
          <w:sz w:val="20"/>
        </w:rPr>
        <w:t>Mediator</w:t>
      </w:r>
    </w:p>
    <w:p>
      <w:pPr>
        <w:pStyle w:val="BodyText"/>
        <w:spacing w:before="5"/>
        <w:ind w:left="2885"/>
      </w:pPr>
      <w:r>
        <w:rPr/>
        <w:t>Accreditation System</w:t>
      </w:r>
    </w:p>
    <w:p>
      <w:pPr>
        <w:pStyle w:val="ListParagraph"/>
        <w:numPr>
          <w:ilvl w:val="1"/>
          <w:numId w:val="3"/>
        </w:numPr>
        <w:tabs>
          <w:tab w:pos="2886" w:val="left" w:leader="none"/>
        </w:tabs>
        <w:spacing w:line="276" w:lineRule="auto" w:before="93" w:after="0"/>
        <w:ind w:left="2885" w:right="5372" w:hanging="267"/>
        <w:jc w:val="left"/>
        <w:rPr>
          <w:sz w:val="20"/>
        </w:rPr>
      </w:pPr>
      <w:r>
        <w:rPr>
          <w:sz w:val="20"/>
        </w:rPr>
        <w:t>Family Dispute</w:t>
      </w:r>
      <w:r>
        <w:rPr>
          <w:spacing w:val="-18"/>
          <w:sz w:val="20"/>
        </w:rPr>
        <w:t> </w:t>
      </w:r>
      <w:r>
        <w:rPr>
          <w:sz w:val="20"/>
        </w:rPr>
        <w:t>Resolution Practitioner accredited by the Federal Attorney- General’s</w:t>
      </w:r>
      <w:r>
        <w:rPr>
          <w:spacing w:val="-4"/>
          <w:sz w:val="20"/>
        </w:rPr>
        <w:t> </w:t>
      </w:r>
      <w:r>
        <w:rPr>
          <w:sz w:val="20"/>
        </w:rPr>
        <w:t>Department</w:t>
      </w:r>
    </w:p>
    <w:p>
      <w:pPr>
        <w:pStyle w:val="ListParagraph"/>
        <w:numPr>
          <w:ilvl w:val="0"/>
          <w:numId w:val="4"/>
        </w:numPr>
        <w:tabs>
          <w:tab w:pos="2708" w:val="left" w:leader="none"/>
        </w:tabs>
        <w:spacing w:line="273" w:lineRule="auto" w:before="55" w:after="0"/>
        <w:ind w:left="2707" w:right="5147" w:hanging="267"/>
        <w:jc w:val="left"/>
        <w:rPr>
          <w:sz w:val="20"/>
        </w:rPr>
      </w:pPr>
      <w:r>
        <w:rPr>
          <w:sz w:val="20"/>
        </w:rPr>
        <w:t>Member, Australian Institute of Company</w:t>
      </w:r>
      <w:r>
        <w:rPr>
          <w:spacing w:val="-4"/>
          <w:sz w:val="20"/>
        </w:rPr>
        <w:t> </w:t>
      </w:r>
      <w:r>
        <w:rPr>
          <w:sz w:val="20"/>
        </w:rPr>
        <w:t>Directors</w:t>
      </w:r>
    </w:p>
    <w:p>
      <w:pPr>
        <w:pStyle w:val="ListParagraph"/>
        <w:numPr>
          <w:ilvl w:val="0"/>
          <w:numId w:val="5"/>
        </w:numPr>
        <w:tabs>
          <w:tab w:pos="1715" w:val="left" w:leader="none"/>
        </w:tabs>
        <w:spacing w:line="273" w:lineRule="auto" w:before="62" w:after="0"/>
        <w:ind w:left="1714" w:right="5148" w:hanging="274"/>
        <w:jc w:val="left"/>
        <w:rPr>
          <w:sz w:val="20"/>
        </w:rPr>
      </w:pPr>
      <w:r>
        <w:rPr>
          <w:sz w:val="20"/>
        </w:rPr>
        <w:t>Member, Women Lawyers Association of Queensland, and</w:t>
      </w:r>
    </w:p>
    <w:p>
      <w:pPr>
        <w:pStyle w:val="ListParagraph"/>
        <w:numPr>
          <w:ilvl w:val="0"/>
          <w:numId w:val="3"/>
        </w:numPr>
        <w:tabs>
          <w:tab w:pos="548" w:val="left" w:leader="none"/>
        </w:tabs>
        <w:spacing w:line="240" w:lineRule="auto" w:before="61" w:after="0"/>
        <w:ind w:left="548" w:right="0" w:hanging="267"/>
        <w:jc w:val="left"/>
        <w:rPr>
          <w:sz w:val="20"/>
        </w:rPr>
      </w:pPr>
      <w:r>
        <w:rPr>
          <w:sz w:val="20"/>
        </w:rPr>
        <w:t>Professional member with the Resolution</w:t>
      </w:r>
      <w:r>
        <w:rPr>
          <w:spacing w:val="-1"/>
          <w:sz w:val="20"/>
        </w:rPr>
        <w:t> </w:t>
      </w:r>
      <w:r>
        <w:rPr>
          <w:sz w:val="20"/>
        </w:rPr>
        <w:t>Institute.</w:t>
      </w:r>
    </w:p>
    <w:p>
      <w:pPr>
        <w:pStyle w:val="BodyText"/>
        <w:spacing w:line="276" w:lineRule="auto" w:before="157"/>
        <w:ind w:left="281" w:right="5144"/>
        <w:jc w:val="both"/>
      </w:pPr>
      <w:r>
        <w:rPr/>
        <w:t>In the mediation space, she has a strong interest in children’s rights, elder advocacy, cross-jurisdictional property matters, and cross-border treaty matters involving children with complex health needs. Her community service roles</w:t>
      </w:r>
      <w:r>
        <w:rPr>
          <w:spacing w:val="-3"/>
        </w:rPr>
        <w:t> </w:t>
      </w:r>
      <w:r>
        <w:rPr/>
        <w:t>include:</w:t>
      </w:r>
    </w:p>
    <w:p>
      <w:pPr>
        <w:pStyle w:val="ListParagraph"/>
        <w:numPr>
          <w:ilvl w:val="0"/>
          <w:numId w:val="3"/>
        </w:numPr>
        <w:tabs>
          <w:tab w:pos="641" w:val="left" w:leader="none"/>
          <w:tab w:pos="642" w:val="left" w:leader="none"/>
        </w:tabs>
        <w:spacing w:line="273" w:lineRule="auto" w:before="117" w:after="0"/>
        <w:ind w:left="641" w:right="5151" w:hanging="360"/>
        <w:jc w:val="left"/>
        <w:rPr>
          <w:sz w:val="20"/>
        </w:rPr>
      </w:pPr>
      <w:r>
        <w:rPr>
          <w:sz w:val="20"/>
        </w:rPr>
        <w:t>President and Board Chair of the Brisbane Youth Service.</w:t>
      </w:r>
    </w:p>
    <w:p>
      <w:pPr>
        <w:pStyle w:val="ListParagraph"/>
        <w:numPr>
          <w:ilvl w:val="0"/>
          <w:numId w:val="3"/>
        </w:numPr>
        <w:tabs>
          <w:tab w:pos="641" w:val="left" w:leader="none"/>
          <w:tab w:pos="642" w:val="left" w:leader="none"/>
          <w:tab w:pos="3101" w:val="left" w:leader="none"/>
          <w:tab w:pos="4494" w:val="left" w:leader="none"/>
        </w:tabs>
        <w:spacing w:line="273" w:lineRule="auto" w:before="62" w:after="0"/>
        <w:ind w:left="641" w:right="5149" w:hanging="360"/>
        <w:jc w:val="left"/>
        <w:rPr>
          <w:sz w:val="20"/>
        </w:rPr>
      </w:pPr>
      <w:r>
        <w:rPr>
          <w:sz w:val="20"/>
        </w:rPr>
        <w:t>Co-Patron,   </w:t>
      </w:r>
      <w:r>
        <w:rPr>
          <w:spacing w:val="14"/>
          <w:sz w:val="20"/>
        </w:rPr>
        <w:t> </w:t>
      </w:r>
      <w:r>
        <w:rPr>
          <w:sz w:val="20"/>
        </w:rPr>
        <w:t>Public   </w:t>
      </w:r>
      <w:r>
        <w:rPr>
          <w:spacing w:val="13"/>
          <w:sz w:val="20"/>
        </w:rPr>
        <w:t> </w:t>
      </w:r>
      <w:r>
        <w:rPr>
          <w:sz w:val="20"/>
        </w:rPr>
        <w:t>Safety</w:t>
        <w:tab/>
        <w:t>and   </w:t>
      </w:r>
      <w:r>
        <w:rPr>
          <w:spacing w:val="16"/>
          <w:sz w:val="20"/>
        </w:rPr>
        <w:t> </w:t>
      </w:r>
      <w:r>
        <w:rPr>
          <w:sz w:val="20"/>
        </w:rPr>
        <w:t>Integrity</w:t>
        <w:tab/>
      </w:r>
      <w:r>
        <w:rPr>
          <w:spacing w:val="-3"/>
          <w:sz w:val="20"/>
        </w:rPr>
        <w:t>Agencies </w:t>
      </w:r>
      <w:r>
        <w:rPr>
          <w:sz w:val="20"/>
        </w:rPr>
        <w:t>Women’s Network (‘Leading</w:t>
      </w:r>
      <w:r>
        <w:rPr>
          <w:spacing w:val="-1"/>
          <w:sz w:val="20"/>
        </w:rPr>
        <w:t> </w:t>
      </w:r>
      <w:r>
        <w:rPr>
          <w:sz w:val="20"/>
        </w:rPr>
        <w:t>Women’).</w:t>
      </w:r>
    </w:p>
    <w:p>
      <w:pPr>
        <w:pStyle w:val="ListParagraph"/>
        <w:numPr>
          <w:ilvl w:val="0"/>
          <w:numId w:val="3"/>
        </w:numPr>
        <w:tabs>
          <w:tab w:pos="641" w:val="left" w:leader="none"/>
          <w:tab w:pos="642" w:val="left" w:leader="none"/>
        </w:tabs>
        <w:spacing w:line="273" w:lineRule="auto" w:before="61" w:after="0"/>
        <w:ind w:left="641" w:right="5153" w:hanging="360"/>
        <w:jc w:val="left"/>
        <w:rPr>
          <w:sz w:val="20"/>
        </w:rPr>
      </w:pPr>
      <w:r>
        <w:rPr>
          <w:sz w:val="20"/>
        </w:rPr>
        <w:t>Steering committee member on the Health Ethics and Law</w:t>
      </w:r>
      <w:r>
        <w:rPr>
          <w:spacing w:val="-2"/>
          <w:sz w:val="20"/>
        </w:rPr>
        <w:t> </w:t>
      </w:r>
      <w:r>
        <w:rPr>
          <w:sz w:val="20"/>
        </w:rPr>
        <w:t>Network.</w:t>
      </w:r>
    </w:p>
    <w:p>
      <w:pPr>
        <w:pStyle w:val="ListParagraph"/>
        <w:numPr>
          <w:ilvl w:val="0"/>
          <w:numId w:val="3"/>
        </w:numPr>
        <w:tabs>
          <w:tab w:pos="641" w:val="left" w:leader="none"/>
          <w:tab w:pos="642" w:val="left" w:leader="none"/>
        </w:tabs>
        <w:spacing w:line="271" w:lineRule="auto" w:before="62" w:after="0"/>
        <w:ind w:left="641" w:right="5147" w:hanging="360"/>
        <w:jc w:val="left"/>
        <w:rPr>
          <w:sz w:val="20"/>
        </w:rPr>
      </w:pPr>
      <w:r>
        <w:rPr>
          <w:sz w:val="20"/>
        </w:rPr>
        <w:t>Member of the Queensland Children’s Hospital Ethics Committee.</w:t>
      </w:r>
    </w:p>
    <w:p>
      <w:pPr>
        <w:pStyle w:val="BodyText"/>
        <w:spacing w:line="276" w:lineRule="auto" w:before="127"/>
        <w:ind w:left="281" w:right="5149"/>
        <w:jc w:val="both"/>
      </w:pPr>
      <w:r>
        <w:rPr/>
        <w:t>Dr Stepanov is also an adjunct Professor with the Division of Tropical Health and Medicine at James Cook University, and continues to supervise PhD students and to publish in various fields.</w:t>
      </w:r>
    </w:p>
    <w:p>
      <w:pPr>
        <w:spacing w:after="0" w:line="276" w:lineRule="auto"/>
        <w:jc w:val="both"/>
        <w:sectPr>
          <w:footerReference w:type="default" r:id="rId13"/>
          <w:pgSz w:w="16840" w:h="11910" w:orient="landscape"/>
          <w:pgMar w:footer="360" w:header="0" w:top="720" w:bottom="540" w:left="580" w:right="620"/>
          <w:pgNumType w:start="4"/>
          <w:cols w:num="2" w:equalWidth="0">
            <w:col w:w="4916" w:space="358"/>
            <w:col w:w="10366"/>
          </w:cols>
        </w:sectPr>
      </w:pPr>
    </w:p>
    <w:p>
      <w:pPr>
        <w:spacing w:before="78"/>
        <w:ind w:left="187" w:right="0" w:firstLine="0"/>
        <w:jc w:val="left"/>
        <w:rPr>
          <w:rFonts w:ascii="Gill Sans MT" w:hAnsi="Gill Sans MT"/>
          <w:sz w:val="32"/>
        </w:rPr>
      </w:pPr>
      <w:r>
        <w:rPr/>
        <w:pict>
          <v:group style="position:absolute;margin-left:302.470001pt;margin-top:178.180008pt;width:503.4pt;height:100.8pt;mso-position-horizontal-relative:page;mso-position-vertical-relative:page;z-index:15732736" coordorigin="6049,3564" coordsize="10068,2016">
            <v:rect style="position:absolute;left:6049;top:3563;width:10068;height:2016" filled="true" fillcolor="#ffbb00" stroked="false">
              <v:fill opacity="12850f" type="solid"/>
            </v:rect>
            <v:shape style="position:absolute;left:6173;top:3808;width:850;height:823" type="#_x0000_t75" stroked="false">
              <v:imagedata r:id="rId16" o:title=""/>
            </v:shape>
            <v:shape style="position:absolute;left:6241;top:4781;width:743;height:444" type="#_x0000_t202" filled="false" stroked="false">
              <v:textbox inset="0,0,0,0">
                <w:txbxContent>
                  <w:p>
                    <w:pPr>
                      <w:spacing w:line="203" w:lineRule="exact" w:before="0"/>
                      <w:ind w:left="9" w:right="0" w:firstLine="0"/>
                      <w:jc w:val="left"/>
                      <w:rPr>
                        <w:b/>
                        <w:sz w:val="20"/>
                      </w:rPr>
                    </w:pPr>
                    <w:r>
                      <w:rPr>
                        <w:b/>
                        <w:color w:val="FF6621"/>
                        <w:sz w:val="20"/>
                      </w:rPr>
                      <w:t>Lobbyist</w:t>
                    </w:r>
                  </w:p>
                  <w:p>
                    <w:pPr>
                      <w:spacing w:line="240" w:lineRule="exact" w:before="0"/>
                      <w:ind w:left="0" w:right="0" w:firstLine="0"/>
                      <w:jc w:val="left"/>
                      <w:rPr>
                        <w:b/>
                        <w:sz w:val="20"/>
                      </w:rPr>
                    </w:pPr>
                    <w:r>
                      <w:rPr>
                        <w:b/>
                        <w:color w:val="FF6621"/>
                        <w:sz w:val="20"/>
                      </w:rPr>
                      <w:t>Function</w:t>
                    </w:r>
                  </w:p>
                </w:txbxContent>
              </v:textbox>
              <w10:wrap type="none"/>
            </v:shape>
            <v:shape style="position:absolute;left:7215;top:3758;width:2051;height:1664" type="#_x0000_t202" filled="false" stroked="false">
              <v:textbox inset="0,0,0,0">
                <w:txbxContent>
                  <w:p>
                    <w:pPr>
                      <w:spacing w:line="203" w:lineRule="exact" w:before="0"/>
                      <w:ind w:left="0" w:right="18" w:firstLine="0"/>
                      <w:jc w:val="center"/>
                      <w:rPr>
                        <w:sz w:val="20"/>
                      </w:rPr>
                    </w:pPr>
                    <w:r>
                      <w:rPr>
                        <w:sz w:val="20"/>
                      </w:rPr>
                      <w:t>Regulate lobbyist</w:t>
                    </w:r>
                    <w:r>
                      <w:rPr>
                        <w:spacing w:val="-22"/>
                        <w:sz w:val="20"/>
                      </w:rPr>
                      <w:t> </w:t>
                    </w:r>
                    <w:r>
                      <w:rPr>
                        <w:sz w:val="20"/>
                      </w:rPr>
                      <w:t>activity</w:t>
                    </w:r>
                  </w:p>
                  <w:p>
                    <w:pPr>
                      <w:spacing w:line="243" w:lineRule="exact" w:before="0"/>
                      <w:ind w:left="0" w:right="16" w:firstLine="0"/>
                      <w:jc w:val="center"/>
                      <w:rPr>
                        <w:sz w:val="20"/>
                      </w:rPr>
                    </w:pPr>
                    <w:r>
                      <w:rPr>
                        <w:sz w:val="20"/>
                      </w:rPr>
                      <w:t>by maintaining</w:t>
                    </w:r>
                    <w:r>
                      <w:rPr>
                        <w:spacing w:val="-6"/>
                        <w:sz w:val="20"/>
                      </w:rPr>
                      <w:t> </w:t>
                    </w:r>
                    <w:r>
                      <w:rPr>
                        <w:sz w:val="20"/>
                      </w:rPr>
                      <w:t>the</w:t>
                    </w:r>
                  </w:p>
                  <w:p>
                    <w:pPr>
                      <w:spacing w:before="0"/>
                      <w:ind w:left="0" w:right="17" w:firstLine="0"/>
                      <w:jc w:val="center"/>
                      <w:rPr>
                        <w:sz w:val="20"/>
                      </w:rPr>
                    </w:pPr>
                    <w:r>
                      <w:rPr>
                        <w:sz w:val="20"/>
                      </w:rPr>
                      <w:t>register and</w:t>
                    </w:r>
                    <w:r>
                      <w:rPr>
                        <w:spacing w:val="-18"/>
                        <w:sz w:val="20"/>
                      </w:rPr>
                      <w:t> </w:t>
                    </w:r>
                    <w:r>
                      <w:rPr>
                        <w:sz w:val="20"/>
                      </w:rPr>
                      <w:t>encouraging ongoing</w:t>
                    </w:r>
                    <w:r>
                      <w:rPr>
                        <w:spacing w:val="-2"/>
                        <w:sz w:val="20"/>
                      </w:rPr>
                      <w:t> </w:t>
                    </w:r>
                    <w:r>
                      <w:rPr>
                        <w:sz w:val="20"/>
                      </w:rPr>
                      <w:t>disclosure.</w:t>
                    </w:r>
                  </w:p>
                  <w:p>
                    <w:pPr>
                      <w:spacing w:before="1"/>
                      <w:ind w:left="0" w:right="15" w:firstLine="0"/>
                      <w:jc w:val="center"/>
                      <w:rPr>
                        <w:sz w:val="20"/>
                      </w:rPr>
                    </w:pPr>
                    <w:r>
                      <w:rPr>
                        <w:sz w:val="20"/>
                      </w:rPr>
                      <w:t>Provide advice about lobbying when</w:t>
                    </w:r>
                  </w:p>
                  <w:p>
                    <w:pPr>
                      <w:spacing w:line="239" w:lineRule="exact" w:before="0"/>
                      <w:ind w:left="0" w:right="14" w:firstLine="0"/>
                      <w:jc w:val="center"/>
                      <w:rPr>
                        <w:sz w:val="20"/>
                      </w:rPr>
                    </w:pPr>
                    <w:r>
                      <w:rPr>
                        <w:sz w:val="20"/>
                      </w:rPr>
                      <w:t>requested.</w:t>
                    </w:r>
                  </w:p>
                </w:txbxContent>
              </v:textbox>
              <w10:wrap type="none"/>
            </v:shape>
            <v:shape style="position:absolute;left:9591;top:3881;width:6499;height:1419" type="#_x0000_t202" filled="false" stroked="false">
              <v:textbox inset="0,0,0,0">
                <w:txbxContent>
                  <w:p>
                    <w:pPr>
                      <w:tabs>
                        <w:tab w:pos="4353" w:val="left" w:leader="none"/>
                      </w:tabs>
                      <w:spacing w:line="203" w:lineRule="exact" w:before="0"/>
                      <w:ind w:left="2036" w:right="0" w:firstLine="0"/>
                      <w:jc w:val="center"/>
                      <w:rPr>
                        <w:sz w:val="20"/>
                      </w:rPr>
                    </w:pPr>
                    <w:r>
                      <w:rPr>
                        <w:sz w:val="20"/>
                      </w:rPr>
                      <w:t>Ensure our</w:t>
                    </w:r>
                    <w:r>
                      <w:rPr>
                        <w:spacing w:val="-5"/>
                        <w:sz w:val="20"/>
                      </w:rPr>
                      <w:t> </w:t>
                    </w:r>
                    <w:r>
                      <w:rPr>
                        <w:sz w:val="20"/>
                      </w:rPr>
                      <w:t>workforce</w:t>
                    </w:r>
                    <w:r>
                      <w:rPr>
                        <w:spacing w:val="-3"/>
                        <w:sz w:val="20"/>
                      </w:rPr>
                      <w:t> </w:t>
                    </w:r>
                    <w:r>
                      <w:rPr>
                        <w:sz w:val="20"/>
                      </w:rPr>
                      <w:t>is</w:t>
                      <w:tab/>
                      <w:t>Register is</w:t>
                    </w:r>
                    <w:r>
                      <w:rPr>
                        <w:spacing w:val="-6"/>
                        <w:sz w:val="20"/>
                      </w:rPr>
                      <w:t> </w:t>
                    </w:r>
                    <w:r>
                      <w:rPr>
                        <w:sz w:val="20"/>
                      </w:rPr>
                      <w:t>maintained</w:t>
                    </w:r>
                  </w:p>
                  <w:p>
                    <w:pPr>
                      <w:tabs>
                        <w:tab w:pos="1821" w:val="left" w:leader="none"/>
                        <w:tab w:pos="2152" w:val="left" w:leader="none"/>
                        <w:tab w:pos="2233" w:val="left" w:leader="none"/>
                        <w:tab w:pos="4372" w:val="left" w:leader="none"/>
                        <w:tab w:pos="4404" w:val="left" w:leader="none"/>
                      </w:tabs>
                      <w:spacing w:before="0"/>
                      <w:ind w:left="-1" w:right="18" w:firstLine="77"/>
                      <w:jc w:val="center"/>
                      <w:rPr>
                        <w:sz w:val="20"/>
                      </w:rPr>
                    </w:pPr>
                    <w:r>
                      <w:rPr>
                        <w:sz w:val="20"/>
                      </w:rPr>
                      <w:t>Not</w:t>
                    </w:r>
                    <w:r>
                      <w:rPr>
                        <w:spacing w:val="-2"/>
                        <w:sz w:val="20"/>
                      </w:rPr>
                      <w:t> </w:t>
                    </w:r>
                    <w:r>
                      <w:rPr>
                        <w:sz w:val="20"/>
                      </w:rPr>
                      <w:t>maintaining</w:t>
                    </w:r>
                    <w:r>
                      <w:rPr>
                        <w:spacing w:val="-2"/>
                        <w:sz w:val="20"/>
                      </w:rPr>
                      <w:t> </w:t>
                    </w:r>
                    <w:r>
                      <w:rPr>
                        <w:sz w:val="20"/>
                      </w:rPr>
                      <w:t>the</w:t>
                      <w:tab/>
                      <w:tab/>
                      <w:tab/>
                      <w:t>aware of</w:t>
                    </w:r>
                    <w:r>
                      <w:rPr>
                        <w:spacing w:val="-7"/>
                        <w:sz w:val="20"/>
                      </w:rPr>
                      <w:t> </w:t>
                    </w:r>
                    <w:r>
                      <w:rPr>
                        <w:sz w:val="20"/>
                      </w:rPr>
                      <w:t>obligations</w:t>
                    </w:r>
                    <w:r>
                      <w:rPr>
                        <w:spacing w:val="-3"/>
                        <w:sz w:val="20"/>
                      </w:rPr>
                      <w:t> </w:t>
                    </w:r>
                    <w:r>
                      <w:rPr>
                        <w:sz w:val="20"/>
                      </w:rPr>
                      <w:t>to</w:t>
                      <w:tab/>
                      <w:t>and up to date in order</w:t>
                    </w:r>
                    <w:r>
                      <w:rPr>
                        <w:spacing w:val="-8"/>
                        <w:sz w:val="20"/>
                      </w:rPr>
                      <w:t> </w:t>
                    </w:r>
                    <w:r>
                      <w:rPr>
                        <w:sz w:val="20"/>
                      </w:rPr>
                      <w:t>to register</w:t>
                    </w:r>
                    <w:r>
                      <w:rPr>
                        <w:spacing w:val="-3"/>
                        <w:sz w:val="20"/>
                      </w:rPr>
                      <w:t> </w:t>
                    </w:r>
                    <w:r>
                      <w:rPr>
                        <w:sz w:val="20"/>
                      </w:rPr>
                      <w:t>in</w:t>
                    </w:r>
                    <w:r>
                      <w:rPr>
                        <w:spacing w:val="-2"/>
                        <w:sz w:val="20"/>
                      </w:rPr>
                      <w:t> </w:t>
                    </w:r>
                    <w:r>
                      <w:rPr>
                        <w:sz w:val="20"/>
                      </w:rPr>
                      <w:t>accordance</w:t>
                      <w:tab/>
                      <w:tab/>
                      <w:t>maintain register. Ensure oversee lobbyists' contact with</w:t>
                    </w:r>
                    <w:r>
                      <w:rPr>
                        <w:spacing w:val="-3"/>
                        <w:sz w:val="20"/>
                      </w:rPr>
                      <w:t> </w:t>
                    </w:r>
                    <w:r>
                      <w:rPr>
                        <w:sz w:val="20"/>
                      </w:rPr>
                      <w:t>statutory</w:t>
                      <w:tab/>
                      <w:t>processes are in</w:t>
                    </w:r>
                    <w:r>
                      <w:rPr>
                        <w:spacing w:val="-6"/>
                        <w:sz w:val="20"/>
                      </w:rPr>
                      <w:t> </w:t>
                    </w:r>
                    <w:r>
                      <w:rPr>
                        <w:sz w:val="20"/>
                      </w:rPr>
                      <w:t>place</w:t>
                    </w:r>
                    <w:r>
                      <w:rPr>
                        <w:spacing w:val="-2"/>
                        <w:sz w:val="20"/>
                      </w:rPr>
                      <w:t> </w:t>
                    </w:r>
                    <w:r>
                      <w:rPr>
                        <w:sz w:val="20"/>
                      </w:rPr>
                      <w:t>for</w:t>
                      <w:tab/>
                      <w:tab/>
                      <w:t>with</w:t>
                    </w:r>
                    <w:r>
                      <w:rPr>
                        <w:spacing w:val="-1"/>
                        <w:sz w:val="20"/>
                      </w:rPr>
                      <w:t> </w:t>
                    </w:r>
                    <w:r>
                      <w:rPr>
                        <w:sz w:val="20"/>
                      </w:rPr>
                      <w:t>government</w:t>
                    </w:r>
                  </w:p>
                  <w:p>
                    <w:pPr>
                      <w:tabs>
                        <w:tab w:pos="2390" w:val="left" w:leader="none"/>
                        <w:tab w:pos="4351" w:val="left" w:leader="none"/>
                      </w:tabs>
                      <w:spacing w:line="243" w:lineRule="exact" w:before="0"/>
                      <w:ind w:left="290" w:right="0" w:firstLine="0"/>
                      <w:jc w:val="center"/>
                      <w:rPr>
                        <w:sz w:val="20"/>
                      </w:rPr>
                    </w:pPr>
                    <w:r>
                      <w:rPr>
                        <w:sz w:val="20"/>
                      </w:rPr>
                      <w:t>obligations.</w:t>
                      <w:tab/>
                      <w:t>registration</w:t>
                    </w:r>
                    <w:r>
                      <w:rPr>
                        <w:spacing w:val="-3"/>
                        <w:sz w:val="20"/>
                      </w:rPr>
                      <w:t> </w:t>
                    </w:r>
                    <w:r>
                      <w:rPr>
                        <w:sz w:val="20"/>
                      </w:rPr>
                      <w:t>and</w:t>
                      <w:tab/>
                      <w:t>representatives.</w:t>
                    </w:r>
                    <w:r>
                      <w:rPr>
                        <w:spacing w:val="-3"/>
                        <w:sz w:val="20"/>
                      </w:rPr>
                      <w:t> </w:t>
                    </w:r>
                    <w:r>
                      <w:rPr>
                        <w:sz w:val="20"/>
                      </w:rPr>
                      <w:t>Audits</w:t>
                    </w:r>
                  </w:p>
                  <w:p>
                    <w:pPr>
                      <w:tabs>
                        <w:tab w:pos="4351" w:val="left" w:leader="none"/>
                      </w:tabs>
                      <w:spacing w:line="239" w:lineRule="exact" w:before="0"/>
                      <w:ind w:left="1970" w:right="0" w:firstLine="0"/>
                      <w:jc w:val="center"/>
                      <w:rPr>
                        <w:sz w:val="20"/>
                      </w:rPr>
                    </w:pPr>
                    <w:r>
                      <w:rPr>
                        <w:sz w:val="20"/>
                      </w:rPr>
                      <w:t>amendment</w:t>
                    </w:r>
                    <w:r>
                      <w:rPr>
                        <w:spacing w:val="-3"/>
                        <w:sz w:val="20"/>
                      </w:rPr>
                      <w:t> </w:t>
                    </w:r>
                    <w:r>
                      <w:rPr>
                        <w:sz w:val="20"/>
                      </w:rPr>
                      <w:t>of</w:t>
                    </w:r>
                    <w:r>
                      <w:rPr>
                        <w:spacing w:val="-4"/>
                        <w:sz w:val="20"/>
                      </w:rPr>
                      <w:t> </w:t>
                    </w:r>
                    <w:r>
                      <w:rPr>
                        <w:sz w:val="20"/>
                      </w:rPr>
                      <w:t>register.</w:t>
                      <w:tab/>
                      <w:t>conducted</w:t>
                    </w:r>
                    <w:r>
                      <w:rPr>
                        <w:spacing w:val="-1"/>
                        <w:sz w:val="20"/>
                      </w:rPr>
                      <w:t> </w:t>
                    </w:r>
                    <w:r>
                      <w:rPr>
                        <w:sz w:val="20"/>
                      </w:rPr>
                      <w:t>regularly.</w:t>
                    </w:r>
                  </w:p>
                </w:txbxContent>
              </v:textbox>
              <w10:wrap type="none"/>
            </v:shape>
            <w10:wrap type="none"/>
          </v:group>
        </w:pict>
      </w:r>
      <w:r>
        <w:rPr/>
        <w:pict>
          <v:group style="position:absolute;margin-left:303.350006pt;margin-top:291.820007pt;width:503.4pt;height:100.8pt;mso-position-horizontal-relative:page;mso-position-vertical-relative:page;z-index:15733248" coordorigin="6067,5836" coordsize="10068,2016">
            <v:rect style="position:absolute;left:6067;top:5836;width:10068;height:2016" filled="true" fillcolor="#ccecf9" stroked="false">
              <v:fill opacity="49087f" type="solid"/>
            </v:rect>
            <v:shape style="position:absolute;left:6184;top:5988;width:847;height:836" type="#_x0000_t75" stroked="false">
              <v:imagedata r:id="rId17" o:title=""/>
            </v:shape>
            <v:shape style="position:absolute;left:6161;top:6032;width:5423;height:1664" type="#_x0000_t202" filled="false" stroked="false">
              <v:textbox inset="0,0,0,0">
                <w:txbxContent>
                  <w:p>
                    <w:pPr>
                      <w:tabs>
                        <w:tab w:pos="3268" w:val="left" w:leader="none"/>
                      </w:tabs>
                      <w:spacing w:line="203" w:lineRule="exact" w:before="0"/>
                      <w:ind w:left="1196" w:right="0" w:firstLine="0"/>
                      <w:jc w:val="center"/>
                      <w:rPr>
                        <w:sz w:val="20"/>
                      </w:rPr>
                    </w:pPr>
                    <w:r>
                      <w:rPr>
                        <w:sz w:val="20"/>
                      </w:rPr>
                      <w:t>Educate</w:t>
                    </w:r>
                    <w:r>
                      <w:rPr>
                        <w:spacing w:val="-3"/>
                        <w:sz w:val="20"/>
                      </w:rPr>
                      <w:t> </w:t>
                    </w:r>
                    <w:r>
                      <w:rPr>
                        <w:sz w:val="20"/>
                      </w:rPr>
                      <w:t>designated</w:t>
                      <w:tab/>
                      <w:t>Lack of awareness</w:t>
                    </w:r>
                    <w:r>
                      <w:rPr>
                        <w:spacing w:val="-8"/>
                        <w:sz w:val="20"/>
                      </w:rPr>
                      <w:t> </w:t>
                    </w:r>
                    <w:r>
                      <w:rPr>
                        <w:sz w:val="20"/>
                      </w:rPr>
                      <w:t>about</w:t>
                    </w:r>
                  </w:p>
                  <w:p>
                    <w:pPr>
                      <w:tabs>
                        <w:tab w:pos="3267" w:val="left" w:leader="none"/>
                      </w:tabs>
                      <w:spacing w:line="243" w:lineRule="exact" w:before="0"/>
                      <w:ind w:left="1142" w:right="0" w:firstLine="0"/>
                      <w:jc w:val="center"/>
                      <w:rPr>
                        <w:sz w:val="20"/>
                      </w:rPr>
                    </w:pPr>
                    <w:r>
                      <w:rPr>
                        <w:sz w:val="20"/>
                      </w:rPr>
                      <w:t>persons</w:t>
                    </w:r>
                    <w:r>
                      <w:rPr>
                        <w:spacing w:val="-4"/>
                        <w:sz w:val="20"/>
                      </w:rPr>
                      <w:t> </w:t>
                    </w:r>
                    <w:r>
                      <w:rPr>
                        <w:sz w:val="20"/>
                      </w:rPr>
                      <w:t>and</w:t>
                    </w:r>
                    <w:r>
                      <w:rPr>
                        <w:spacing w:val="-1"/>
                        <w:sz w:val="20"/>
                      </w:rPr>
                      <w:t> </w:t>
                    </w:r>
                    <w:r>
                      <w:rPr>
                        <w:sz w:val="20"/>
                      </w:rPr>
                      <w:t>the</w:t>
                      <w:tab/>
                      <w:t>ethics and</w:t>
                    </w:r>
                    <w:r>
                      <w:rPr>
                        <w:spacing w:val="-3"/>
                        <w:sz w:val="20"/>
                      </w:rPr>
                      <w:t> </w:t>
                    </w:r>
                    <w:r>
                      <w:rPr>
                        <w:sz w:val="20"/>
                      </w:rPr>
                      <w:t>integrity,</w:t>
                    </w:r>
                  </w:p>
                  <w:p>
                    <w:pPr>
                      <w:tabs>
                        <w:tab w:pos="3353" w:val="left" w:leader="none"/>
                        <w:tab w:pos="3480" w:val="left" w:leader="none"/>
                      </w:tabs>
                      <w:spacing w:before="0"/>
                      <w:ind w:left="1060" w:right="84" w:firstLine="127"/>
                      <w:jc w:val="left"/>
                      <w:rPr>
                        <w:sz w:val="20"/>
                      </w:rPr>
                    </w:pPr>
                    <w:r>
                      <w:rPr>
                        <w:sz w:val="20"/>
                      </w:rPr>
                      <w:t>community</w:t>
                    </w:r>
                    <w:r>
                      <w:rPr>
                        <w:spacing w:val="-2"/>
                        <w:sz w:val="20"/>
                      </w:rPr>
                      <w:t> </w:t>
                    </w:r>
                    <w:r>
                      <w:rPr>
                        <w:sz w:val="20"/>
                      </w:rPr>
                      <w:t>about</w:t>
                    </w:r>
                    <w:r>
                      <w:rPr>
                        <w:spacing w:val="-1"/>
                        <w:sz w:val="20"/>
                      </w:rPr>
                      <w:t> </w:t>
                    </w:r>
                    <w:r>
                      <w:rPr>
                        <w:sz w:val="20"/>
                      </w:rPr>
                      <w:t>the</w:t>
                      <w:tab/>
                      <w:t>thereby not fulfilling</w:t>
                    </w:r>
                    <w:r>
                      <w:rPr>
                        <w:spacing w:val="-11"/>
                        <w:sz w:val="20"/>
                      </w:rPr>
                      <w:t> </w:t>
                    </w:r>
                    <w:r>
                      <w:rPr>
                        <w:sz w:val="20"/>
                      </w:rPr>
                      <w:t>our Integrity</w:t>
                    </w:r>
                    <w:r>
                      <w:rPr>
                        <w:spacing w:val="-1"/>
                        <w:sz w:val="20"/>
                      </w:rPr>
                      <w:t> </w:t>
                    </w:r>
                    <w:r>
                      <w:rPr>
                        <w:sz w:val="20"/>
                      </w:rPr>
                      <w:t>Commissioner’s</w:t>
                      <w:tab/>
                      <w:tab/>
                      <w:t>statutory</w:t>
                    </w:r>
                    <w:r>
                      <w:rPr>
                        <w:spacing w:val="-3"/>
                        <w:sz w:val="20"/>
                      </w:rPr>
                      <w:t> </w:t>
                    </w:r>
                    <w:r>
                      <w:rPr>
                        <w:sz w:val="20"/>
                      </w:rPr>
                      <w:t>obligations.</w:t>
                    </w:r>
                  </w:p>
                  <w:p>
                    <w:pPr>
                      <w:tabs>
                        <w:tab w:pos="1175" w:val="left" w:leader="none"/>
                        <w:tab w:pos="3288" w:val="left" w:leader="none"/>
                      </w:tabs>
                      <w:spacing w:line="206" w:lineRule="exact" w:before="0"/>
                      <w:ind w:left="201" w:right="0" w:firstLine="0"/>
                      <w:jc w:val="left"/>
                      <w:rPr>
                        <w:sz w:val="20"/>
                      </w:rPr>
                    </w:pPr>
                    <w:r>
                      <w:rPr>
                        <w:b/>
                        <w:color w:val="FF6621"/>
                        <w:position w:val="8"/>
                        <w:sz w:val="20"/>
                      </w:rPr>
                      <w:t>Public</w:t>
                      <w:tab/>
                    </w:r>
                    <w:r>
                      <w:rPr>
                        <w:sz w:val="20"/>
                      </w:rPr>
                      <w:t>role and</w:t>
                    </w:r>
                    <w:r>
                      <w:rPr>
                        <w:spacing w:val="-4"/>
                        <w:sz w:val="20"/>
                      </w:rPr>
                      <w:t> </w:t>
                    </w:r>
                    <w:r>
                      <w:rPr>
                        <w:sz w:val="20"/>
                      </w:rPr>
                      <w:t>raising</w:t>
                    </w:r>
                    <w:r>
                      <w:rPr>
                        <w:spacing w:val="-2"/>
                        <w:sz w:val="20"/>
                      </w:rPr>
                      <w:t> </w:t>
                    </w:r>
                    <w:r>
                      <w:rPr>
                        <w:sz w:val="20"/>
                      </w:rPr>
                      <w:t>public</w:t>
                      <w:tab/>
                      <w:t>Potential for loss of</w:t>
                    </w:r>
                    <w:r>
                      <w:rPr>
                        <w:spacing w:val="-15"/>
                        <w:sz w:val="20"/>
                      </w:rPr>
                      <w:t> </w:t>
                    </w:r>
                    <w:r>
                      <w:rPr>
                        <w:sz w:val="20"/>
                      </w:rPr>
                      <w:t>public</w:t>
                    </w:r>
                  </w:p>
                  <w:p>
                    <w:pPr>
                      <w:tabs>
                        <w:tab w:pos="3801" w:val="left" w:leader="none"/>
                      </w:tabs>
                      <w:spacing w:line="249" w:lineRule="exact" w:before="0"/>
                      <w:ind w:left="0" w:right="0" w:firstLine="0"/>
                      <w:jc w:val="left"/>
                      <w:rPr>
                        <w:sz w:val="20"/>
                      </w:rPr>
                    </w:pPr>
                    <w:r>
                      <w:rPr>
                        <w:b/>
                        <w:color w:val="FF6621"/>
                        <w:position w:val="8"/>
                        <w:sz w:val="20"/>
                      </w:rPr>
                      <w:t>Awareness    </w:t>
                    </w:r>
                    <w:r>
                      <w:rPr>
                        <w:sz w:val="20"/>
                      </w:rPr>
                      <w:t>awareness of</w:t>
                    </w:r>
                    <w:r>
                      <w:rPr>
                        <w:spacing w:val="-3"/>
                        <w:sz w:val="20"/>
                      </w:rPr>
                      <w:t> </w:t>
                    </w:r>
                    <w:r>
                      <w:rPr>
                        <w:sz w:val="20"/>
                      </w:rPr>
                      <w:t>ethics</w:t>
                    </w:r>
                    <w:r>
                      <w:rPr>
                        <w:spacing w:val="-3"/>
                        <w:sz w:val="20"/>
                      </w:rPr>
                      <w:t> </w:t>
                    </w:r>
                    <w:r>
                      <w:rPr>
                        <w:sz w:val="20"/>
                      </w:rPr>
                      <w:t>and</w:t>
                      <w:tab/>
                      <w:t>confidence</w:t>
                    </w:r>
                    <w:r>
                      <w:rPr>
                        <w:spacing w:val="-9"/>
                        <w:sz w:val="20"/>
                      </w:rPr>
                      <w:t> </w:t>
                    </w:r>
                    <w:r>
                      <w:rPr>
                        <w:sz w:val="20"/>
                      </w:rPr>
                      <w:t>in</w:t>
                    </w:r>
                  </w:p>
                  <w:p>
                    <w:pPr>
                      <w:tabs>
                        <w:tab w:pos="1679" w:val="left" w:leader="none"/>
                        <w:tab w:pos="3823" w:val="left" w:leader="none"/>
                      </w:tabs>
                      <w:spacing w:line="274" w:lineRule="exact" w:before="0"/>
                      <w:ind w:left="52" w:right="0" w:firstLine="0"/>
                      <w:jc w:val="left"/>
                      <w:rPr>
                        <w:sz w:val="20"/>
                      </w:rPr>
                    </w:pPr>
                    <w:r>
                      <w:rPr>
                        <w:b/>
                        <w:color w:val="FF6621"/>
                        <w:position w:val="7"/>
                        <w:sz w:val="20"/>
                      </w:rPr>
                      <w:t>Functions</w:t>
                      <w:tab/>
                    </w:r>
                    <w:r>
                      <w:rPr>
                        <w:sz w:val="20"/>
                      </w:rPr>
                      <w:t>integrity.</w:t>
                      <w:tab/>
                      <w:t>government.</w:t>
                    </w:r>
                  </w:p>
                </w:txbxContent>
              </v:textbox>
              <w10:wrap type="none"/>
            </v:shape>
            <v:shape style="position:absolute;left:11715;top:6032;width:2114;height:1664" type="#_x0000_t202" filled="false" stroked="false">
              <v:textbox inset="0,0,0,0">
                <w:txbxContent>
                  <w:p>
                    <w:pPr>
                      <w:spacing w:line="203" w:lineRule="exact" w:before="0"/>
                      <w:ind w:left="15" w:right="33" w:firstLine="0"/>
                      <w:jc w:val="center"/>
                      <w:rPr>
                        <w:sz w:val="20"/>
                      </w:rPr>
                    </w:pPr>
                    <w:r>
                      <w:rPr>
                        <w:sz w:val="20"/>
                      </w:rPr>
                      <w:t>Implement processes to</w:t>
                    </w:r>
                  </w:p>
                  <w:p>
                    <w:pPr>
                      <w:spacing w:before="0"/>
                      <w:ind w:left="0" w:right="18" w:firstLine="1"/>
                      <w:jc w:val="center"/>
                      <w:rPr>
                        <w:sz w:val="20"/>
                      </w:rPr>
                    </w:pPr>
                    <w:r>
                      <w:rPr>
                        <w:sz w:val="20"/>
                      </w:rPr>
                      <w:t>incorporate integrity and ethics training to raise public awareness.</w:t>
                    </w:r>
                    <w:r>
                      <w:rPr>
                        <w:spacing w:val="-13"/>
                        <w:sz w:val="20"/>
                      </w:rPr>
                      <w:t> </w:t>
                    </w:r>
                    <w:r>
                      <w:rPr>
                        <w:sz w:val="20"/>
                      </w:rPr>
                      <w:t>Update website and</w:t>
                    </w:r>
                    <w:r>
                      <w:rPr>
                        <w:spacing w:val="-3"/>
                        <w:sz w:val="20"/>
                      </w:rPr>
                      <w:t> </w:t>
                    </w:r>
                    <w:r>
                      <w:rPr>
                        <w:sz w:val="20"/>
                      </w:rPr>
                      <w:t>conduct</w:t>
                    </w:r>
                  </w:p>
                  <w:p>
                    <w:pPr>
                      <w:spacing w:before="1"/>
                      <w:ind w:left="17" w:right="33" w:firstLine="0"/>
                      <w:jc w:val="center"/>
                      <w:rPr>
                        <w:sz w:val="20"/>
                      </w:rPr>
                    </w:pPr>
                    <w:r>
                      <w:rPr>
                        <w:sz w:val="20"/>
                      </w:rPr>
                      <w:t>stakeholder engagement plan.</w:t>
                    </w:r>
                  </w:p>
                </w:txbxContent>
              </v:textbox>
              <w10:wrap type="none"/>
            </v:shape>
            <v:shape style="position:absolute;left:14008;top:6154;width:2042;height:1419" type="#_x0000_t202" filled="false" stroked="false">
              <v:textbox inset="0,0,0,0">
                <w:txbxContent>
                  <w:p>
                    <w:pPr>
                      <w:spacing w:line="203" w:lineRule="exact" w:before="0"/>
                      <w:ind w:left="33" w:right="0" w:firstLine="0"/>
                      <w:jc w:val="both"/>
                      <w:rPr>
                        <w:sz w:val="20"/>
                      </w:rPr>
                    </w:pPr>
                    <w:r>
                      <w:rPr>
                        <w:sz w:val="20"/>
                      </w:rPr>
                      <w:t>Designated persons and</w:t>
                    </w:r>
                  </w:p>
                  <w:p>
                    <w:pPr>
                      <w:spacing w:before="0"/>
                      <w:ind w:left="62" w:right="83" w:firstLine="9"/>
                      <w:jc w:val="both"/>
                      <w:rPr>
                        <w:sz w:val="20"/>
                      </w:rPr>
                    </w:pPr>
                    <w:r>
                      <w:rPr>
                        <w:sz w:val="20"/>
                      </w:rPr>
                      <w:t>the public are aware of issues relating to</w:t>
                    </w:r>
                    <w:r>
                      <w:rPr>
                        <w:spacing w:val="-10"/>
                        <w:sz w:val="20"/>
                      </w:rPr>
                      <w:t> </w:t>
                    </w:r>
                    <w:r>
                      <w:rPr>
                        <w:sz w:val="20"/>
                      </w:rPr>
                      <w:t>ethics and integrity and</w:t>
                    </w:r>
                    <w:r>
                      <w:rPr>
                        <w:spacing w:val="-1"/>
                        <w:sz w:val="20"/>
                      </w:rPr>
                      <w:t> </w:t>
                    </w:r>
                    <w:r>
                      <w:rPr>
                        <w:sz w:val="20"/>
                      </w:rPr>
                      <w:t>the</w:t>
                    </w:r>
                  </w:p>
                  <w:p>
                    <w:pPr>
                      <w:spacing w:before="0"/>
                      <w:ind w:left="247" w:right="18" w:hanging="248"/>
                      <w:jc w:val="both"/>
                      <w:rPr>
                        <w:sz w:val="20"/>
                      </w:rPr>
                    </w:pPr>
                    <w:r>
                      <w:rPr>
                        <w:sz w:val="20"/>
                      </w:rPr>
                      <w:t>Integrity Commissioner’s role and</w:t>
                    </w:r>
                    <w:r>
                      <w:rPr>
                        <w:spacing w:val="-5"/>
                        <w:sz w:val="20"/>
                      </w:rPr>
                      <w:t> </w:t>
                    </w:r>
                    <w:r>
                      <w:rPr>
                        <w:sz w:val="20"/>
                      </w:rPr>
                      <w:t>functions.</w:t>
                    </w:r>
                  </w:p>
                </w:txbxContent>
              </v:textbox>
              <w10:wrap type="none"/>
            </v:shape>
            <w10:wrap type="none"/>
          </v:group>
        </w:pict>
      </w:r>
      <w:r>
        <w:rPr/>
        <w:pict>
          <v:shape style="position:absolute;margin-left:35.955002pt;margin-top:31.227179pt;width:254.25pt;height:328.1pt;mso-position-horizontal-relative:page;mso-position-vertical-relative:paragraph;z-index:15733760" type="#_x0000_t202" filled="true" fillcolor="#d9d9d9" stroked="false">
            <v:textbox inset="0,0,0,0">
              <w:txbxContent>
                <w:p>
                  <w:pPr>
                    <w:spacing w:before="156"/>
                    <w:ind w:left="142" w:right="0" w:firstLine="0"/>
                    <w:jc w:val="left"/>
                    <w:rPr>
                      <w:rFonts w:ascii="Gill Sans MT"/>
                      <w:sz w:val="17"/>
                    </w:rPr>
                  </w:pPr>
                  <w:r>
                    <w:rPr>
                      <w:rFonts w:ascii="Gill Sans MT"/>
                      <w:color w:val="FF6621"/>
                      <w:w w:val="105"/>
                      <w:sz w:val="22"/>
                    </w:rPr>
                    <w:t>T</w:t>
                  </w:r>
                  <w:r>
                    <w:rPr>
                      <w:rFonts w:ascii="Gill Sans MT"/>
                      <w:color w:val="FF6621"/>
                      <w:w w:val="105"/>
                      <w:sz w:val="17"/>
                    </w:rPr>
                    <w:t>HE </w:t>
                  </w:r>
                  <w:r>
                    <w:rPr>
                      <w:rFonts w:ascii="Gill Sans MT"/>
                      <w:color w:val="FF6621"/>
                      <w:w w:val="105"/>
                      <w:sz w:val="22"/>
                    </w:rPr>
                    <w:t>R</w:t>
                  </w:r>
                  <w:r>
                    <w:rPr>
                      <w:rFonts w:ascii="Gill Sans MT"/>
                      <w:color w:val="FF6621"/>
                      <w:w w:val="105"/>
                      <w:sz w:val="17"/>
                    </w:rPr>
                    <w:t>OLE OF </w:t>
                  </w:r>
                  <w:r>
                    <w:rPr>
                      <w:rFonts w:ascii="Gill Sans MT"/>
                      <w:color w:val="FF6621"/>
                      <w:w w:val="105"/>
                      <w:sz w:val="22"/>
                    </w:rPr>
                    <w:t>I</w:t>
                  </w:r>
                  <w:r>
                    <w:rPr>
                      <w:rFonts w:ascii="Gill Sans MT"/>
                      <w:color w:val="FF6621"/>
                      <w:w w:val="105"/>
                      <w:sz w:val="17"/>
                    </w:rPr>
                    <w:t>NTEGRITY </w:t>
                  </w:r>
                  <w:r>
                    <w:rPr>
                      <w:rFonts w:ascii="Gill Sans MT"/>
                      <w:color w:val="FF6621"/>
                      <w:w w:val="105"/>
                      <w:sz w:val="22"/>
                    </w:rPr>
                    <w:t>C</w:t>
                  </w:r>
                  <w:r>
                    <w:rPr>
                      <w:rFonts w:ascii="Gill Sans MT"/>
                      <w:color w:val="FF6621"/>
                      <w:w w:val="105"/>
                      <w:sz w:val="17"/>
                    </w:rPr>
                    <w:t>OMMISSIONER</w:t>
                  </w:r>
                </w:p>
                <w:p>
                  <w:pPr>
                    <w:pStyle w:val="BodyText"/>
                    <w:spacing w:before="133"/>
                    <w:ind w:left="142"/>
                  </w:pPr>
                  <w:r>
                    <w:rPr/>
                    <w:t>The Queensland Integrity Commissioner is an independent officer of the Queensland Parliament reporting through</w:t>
                  </w:r>
                </w:p>
                <w:p>
                  <w:pPr>
                    <w:pStyle w:val="BodyText"/>
                    <w:spacing w:before="2"/>
                    <w:ind w:left="142"/>
                  </w:pPr>
                  <w:r>
                    <w:rPr/>
                    <w:t>the Economics and Governance Committee.</w:t>
                  </w:r>
                </w:p>
                <w:p>
                  <w:pPr>
                    <w:spacing w:before="142"/>
                    <w:ind w:left="142" w:right="0" w:firstLine="0"/>
                    <w:jc w:val="left"/>
                    <w:rPr>
                      <w:rFonts w:ascii="Gill Sans MT"/>
                      <w:sz w:val="17"/>
                    </w:rPr>
                  </w:pPr>
                  <w:r>
                    <w:rPr>
                      <w:rFonts w:ascii="Gill Sans MT"/>
                      <w:color w:val="FF6621"/>
                      <w:sz w:val="22"/>
                    </w:rPr>
                    <w:t>O</w:t>
                  </w:r>
                  <w:r>
                    <w:rPr>
                      <w:rFonts w:ascii="Gill Sans MT"/>
                      <w:color w:val="FF6621"/>
                      <w:sz w:val="17"/>
                    </w:rPr>
                    <w:t>UR </w:t>
                  </w:r>
                  <w:r>
                    <w:rPr>
                      <w:rFonts w:ascii="Gill Sans MT"/>
                      <w:color w:val="FF6621"/>
                      <w:sz w:val="22"/>
                    </w:rPr>
                    <w:t>V</w:t>
                  </w:r>
                  <w:r>
                    <w:rPr>
                      <w:rFonts w:ascii="Gill Sans MT"/>
                      <w:color w:val="FF6621"/>
                      <w:sz w:val="17"/>
                    </w:rPr>
                    <w:t>ISION</w:t>
                  </w:r>
                </w:p>
                <w:p>
                  <w:pPr>
                    <w:pStyle w:val="BodyText"/>
                    <w:spacing w:line="244" w:lineRule="exact" w:before="136"/>
                    <w:ind w:left="142"/>
                  </w:pPr>
                  <w:r>
                    <w:rPr/>
                    <w:t>Encouraging confidence in public institutions and public</w:t>
                  </w:r>
                </w:p>
                <w:p>
                  <w:pPr>
                    <w:pStyle w:val="BodyText"/>
                    <w:spacing w:line="244" w:lineRule="exact"/>
                    <w:ind w:left="142"/>
                  </w:pPr>
                  <w:r>
                    <w:rPr/>
                    <w:t>office.</w:t>
                  </w:r>
                </w:p>
                <w:p>
                  <w:pPr>
                    <w:spacing w:before="145"/>
                    <w:ind w:left="142" w:right="0" w:firstLine="0"/>
                    <w:jc w:val="left"/>
                    <w:rPr>
                      <w:rFonts w:ascii="Gill Sans MT"/>
                      <w:sz w:val="17"/>
                    </w:rPr>
                  </w:pPr>
                  <w:r>
                    <w:rPr>
                      <w:rFonts w:ascii="Gill Sans MT"/>
                      <w:color w:val="FF6621"/>
                      <w:sz w:val="22"/>
                    </w:rPr>
                    <w:t>O</w:t>
                  </w:r>
                  <w:r>
                    <w:rPr>
                      <w:rFonts w:ascii="Gill Sans MT"/>
                      <w:color w:val="FF6621"/>
                      <w:sz w:val="17"/>
                    </w:rPr>
                    <w:t>UR </w:t>
                  </w:r>
                  <w:r>
                    <w:rPr>
                      <w:rFonts w:ascii="Gill Sans MT"/>
                      <w:color w:val="FF6621"/>
                      <w:sz w:val="22"/>
                    </w:rPr>
                    <w:t>P</w:t>
                  </w:r>
                  <w:r>
                    <w:rPr>
                      <w:rFonts w:ascii="Gill Sans MT"/>
                      <w:color w:val="FF6621"/>
                      <w:sz w:val="17"/>
                    </w:rPr>
                    <w:t>URPOSE</w:t>
                  </w:r>
                </w:p>
                <w:p>
                  <w:pPr>
                    <w:pStyle w:val="BodyText"/>
                    <w:spacing w:before="133"/>
                    <w:ind w:left="142"/>
                  </w:pPr>
                  <w:r>
                    <w:rPr/>
                    <w:t>The Integrity Commissioner has four functions under the</w:t>
                  </w:r>
                </w:p>
                <w:p>
                  <w:pPr>
                    <w:spacing w:before="1"/>
                    <w:ind w:left="142" w:right="0" w:firstLine="0"/>
                    <w:jc w:val="left"/>
                    <w:rPr>
                      <w:sz w:val="20"/>
                    </w:rPr>
                  </w:pPr>
                  <w:r>
                    <w:rPr>
                      <w:i/>
                      <w:sz w:val="20"/>
                    </w:rPr>
                    <w:t>Integrity Act 2009</w:t>
                  </w:r>
                  <w:r>
                    <w:rPr>
                      <w:sz w:val="20"/>
                    </w:rPr>
                    <w:t>:</w:t>
                  </w:r>
                </w:p>
                <w:p>
                  <w:pPr>
                    <w:pStyle w:val="BodyText"/>
                    <w:numPr>
                      <w:ilvl w:val="0"/>
                      <w:numId w:val="6"/>
                    </w:numPr>
                    <w:tabs>
                      <w:tab w:pos="495" w:val="left" w:leader="none"/>
                      <w:tab w:pos="496" w:val="left" w:leader="none"/>
                    </w:tabs>
                    <w:spacing w:line="240" w:lineRule="auto" w:before="121" w:after="0"/>
                    <w:ind w:left="495" w:right="0" w:hanging="354"/>
                    <w:jc w:val="left"/>
                  </w:pPr>
                  <w:r>
                    <w:rPr/>
                    <w:t>To give written advice to current and</w:t>
                  </w:r>
                  <w:r>
                    <w:rPr>
                      <w:spacing w:val="-9"/>
                    </w:rPr>
                    <w:t> </w:t>
                  </w:r>
                  <w:r>
                    <w:rPr/>
                    <w:t>former</w:t>
                  </w:r>
                </w:p>
                <w:p>
                  <w:pPr>
                    <w:pStyle w:val="BodyText"/>
                    <w:ind w:left="495"/>
                  </w:pPr>
                  <w:r>
                    <w:rPr/>
                    <w:t>designated persons about ethics and integrity</w:t>
                  </w:r>
                  <w:r>
                    <w:rPr>
                      <w:spacing w:val="-21"/>
                    </w:rPr>
                    <w:t> </w:t>
                  </w:r>
                  <w:r>
                    <w:rPr/>
                    <w:t>issues.</w:t>
                  </w:r>
                </w:p>
                <w:p>
                  <w:pPr>
                    <w:pStyle w:val="BodyText"/>
                    <w:numPr>
                      <w:ilvl w:val="0"/>
                      <w:numId w:val="6"/>
                    </w:numPr>
                    <w:tabs>
                      <w:tab w:pos="495" w:val="left" w:leader="none"/>
                      <w:tab w:pos="496" w:val="left" w:leader="none"/>
                    </w:tabs>
                    <w:spacing w:line="240" w:lineRule="auto" w:before="119" w:after="0"/>
                    <w:ind w:left="495" w:right="0" w:hanging="354"/>
                    <w:jc w:val="left"/>
                  </w:pPr>
                  <w:r>
                    <w:rPr/>
                    <w:t>To meet with and give written or oral advice</w:t>
                  </w:r>
                  <w:r>
                    <w:rPr>
                      <w:spacing w:val="-26"/>
                    </w:rPr>
                    <w:t> </w:t>
                  </w:r>
                  <w:r>
                    <w:rPr/>
                    <w:t>to</w:t>
                  </w:r>
                </w:p>
                <w:p>
                  <w:pPr>
                    <w:pStyle w:val="BodyText"/>
                    <w:spacing w:before="1"/>
                    <w:ind w:left="495"/>
                  </w:pPr>
                  <w:r>
                    <w:rPr/>
                    <w:t>Members of the Legislative Assembly about interest issues.</w:t>
                  </w:r>
                </w:p>
                <w:p>
                  <w:pPr>
                    <w:pStyle w:val="BodyText"/>
                    <w:numPr>
                      <w:ilvl w:val="0"/>
                      <w:numId w:val="6"/>
                    </w:numPr>
                    <w:tabs>
                      <w:tab w:pos="495" w:val="left" w:leader="none"/>
                      <w:tab w:pos="496" w:val="left" w:leader="none"/>
                    </w:tabs>
                    <w:spacing w:line="240" w:lineRule="auto" w:before="119" w:after="0"/>
                    <w:ind w:left="495" w:right="276" w:hanging="353"/>
                    <w:jc w:val="left"/>
                  </w:pPr>
                  <w:r>
                    <w:rPr/>
                    <w:t>To keep the lobbyists register and have</w:t>
                  </w:r>
                  <w:r>
                    <w:rPr>
                      <w:spacing w:val="-24"/>
                    </w:rPr>
                    <w:t> </w:t>
                  </w:r>
                  <w:r>
                    <w:rPr/>
                    <w:t>responsibility for the registration of</w:t>
                  </w:r>
                  <w:r>
                    <w:rPr>
                      <w:spacing w:val="-5"/>
                    </w:rPr>
                    <w:t> </w:t>
                  </w:r>
                  <w:r>
                    <w:rPr/>
                    <w:t>lobbyists.</w:t>
                  </w:r>
                </w:p>
                <w:p>
                  <w:pPr>
                    <w:pStyle w:val="BodyText"/>
                    <w:numPr>
                      <w:ilvl w:val="0"/>
                      <w:numId w:val="6"/>
                    </w:numPr>
                    <w:tabs>
                      <w:tab w:pos="495" w:val="left" w:leader="none"/>
                      <w:tab w:pos="496" w:val="left" w:leader="none"/>
                    </w:tabs>
                    <w:spacing w:line="240" w:lineRule="auto" w:before="121" w:after="0"/>
                    <w:ind w:left="495" w:right="159" w:hanging="353"/>
                    <w:jc w:val="left"/>
                  </w:pPr>
                  <w:r>
                    <w:rPr/>
                    <w:t>To raise public awareness of ethics and integrity</w:t>
                  </w:r>
                  <w:r>
                    <w:rPr>
                      <w:spacing w:val="-19"/>
                    </w:rPr>
                    <w:t> </w:t>
                  </w:r>
                  <w:r>
                    <w:rPr/>
                    <w:t>issues by contributing to public discussion of these</w:t>
                  </w:r>
                  <w:r>
                    <w:rPr>
                      <w:spacing w:val="-18"/>
                    </w:rPr>
                    <w:t> </w:t>
                  </w:r>
                  <w:r>
                    <w:rPr/>
                    <w:t>issues.</w:t>
                  </w:r>
                </w:p>
              </w:txbxContent>
            </v:textbox>
            <v:fill opacity="49087f" type="solid"/>
            <w10:wrap type="none"/>
          </v:shape>
        </w:pict>
      </w:r>
      <w:r>
        <w:rPr/>
        <w:pict>
          <v:shape style="position:absolute;margin-left:301.970001pt;margin-top:17.557178pt;width:503.4pt;height:114.5pt;mso-position-horizontal-relative:page;mso-position-vertical-relative:paragraph;z-index:1573427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4"/>
                    <w:gridCol w:w="2224"/>
                    <w:gridCol w:w="2196"/>
                    <w:gridCol w:w="2364"/>
                    <w:gridCol w:w="2179"/>
                  </w:tblGrid>
                  <w:tr>
                    <w:trPr>
                      <w:trHeight w:val="273" w:hRule="atLeast"/>
                    </w:trPr>
                    <w:tc>
                      <w:tcPr>
                        <w:tcW w:w="1104" w:type="dxa"/>
                      </w:tcPr>
                      <w:p>
                        <w:pPr>
                          <w:pStyle w:val="TableParagraph"/>
                          <w:rPr>
                            <w:rFonts w:ascii="Times New Roman"/>
                            <w:sz w:val="18"/>
                          </w:rPr>
                        </w:pPr>
                      </w:p>
                    </w:tc>
                    <w:tc>
                      <w:tcPr>
                        <w:tcW w:w="2224" w:type="dxa"/>
                      </w:tcPr>
                      <w:p>
                        <w:pPr>
                          <w:pStyle w:val="TableParagraph"/>
                          <w:spacing w:line="203" w:lineRule="exact"/>
                          <w:ind w:left="131" w:right="179"/>
                          <w:jc w:val="center"/>
                          <w:rPr>
                            <w:b/>
                            <w:sz w:val="20"/>
                          </w:rPr>
                        </w:pPr>
                        <w:r>
                          <w:rPr>
                            <w:b/>
                            <w:color w:val="FF6621"/>
                            <w:sz w:val="20"/>
                          </w:rPr>
                          <w:t>Objectives</w:t>
                        </w:r>
                      </w:p>
                    </w:tc>
                    <w:tc>
                      <w:tcPr>
                        <w:tcW w:w="2196" w:type="dxa"/>
                      </w:tcPr>
                      <w:p>
                        <w:pPr>
                          <w:pStyle w:val="TableParagraph"/>
                          <w:spacing w:line="203" w:lineRule="exact"/>
                          <w:ind w:left="175" w:right="133"/>
                          <w:jc w:val="center"/>
                          <w:rPr>
                            <w:b/>
                            <w:sz w:val="20"/>
                          </w:rPr>
                        </w:pPr>
                        <w:r>
                          <w:rPr>
                            <w:b/>
                            <w:color w:val="FF6621"/>
                            <w:sz w:val="20"/>
                          </w:rPr>
                          <w:t>Strategic Risks</w:t>
                        </w:r>
                      </w:p>
                    </w:tc>
                    <w:tc>
                      <w:tcPr>
                        <w:tcW w:w="2364" w:type="dxa"/>
                      </w:tcPr>
                      <w:p>
                        <w:pPr>
                          <w:pStyle w:val="TableParagraph"/>
                          <w:spacing w:line="203" w:lineRule="exact"/>
                          <w:ind w:left="130" w:right="97"/>
                          <w:jc w:val="center"/>
                          <w:rPr>
                            <w:b/>
                            <w:sz w:val="20"/>
                          </w:rPr>
                        </w:pPr>
                        <w:r>
                          <w:rPr>
                            <w:b/>
                            <w:color w:val="FF6621"/>
                            <w:sz w:val="20"/>
                          </w:rPr>
                          <w:t>Strategies</w:t>
                        </w:r>
                      </w:p>
                    </w:tc>
                    <w:tc>
                      <w:tcPr>
                        <w:tcW w:w="2179" w:type="dxa"/>
                      </w:tcPr>
                      <w:p>
                        <w:pPr>
                          <w:pStyle w:val="TableParagraph"/>
                          <w:spacing w:line="203" w:lineRule="exact"/>
                          <w:ind w:left="99" w:right="98"/>
                          <w:jc w:val="center"/>
                          <w:rPr>
                            <w:b/>
                            <w:sz w:val="20"/>
                          </w:rPr>
                        </w:pPr>
                        <w:r>
                          <w:rPr>
                            <w:b/>
                            <w:color w:val="FF6621"/>
                            <w:sz w:val="20"/>
                          </w:rPr>
                          <w:t>Performance indicators</w:t>
                        </w:r>
                      </w:p>
                    </w:tc>
                  </w:tr>
                  <w:tr>
                    <w:trPr>
                      <w:trHeight w:val="416" w:hRule="atLeast"/>
                    </w:trPr>
                    <w:tc>
                      <w:tcPr>
                        <w:tcW w:w="1104" w:type="dxa"/>
                        <w:shd w:val="clear" w:color="auto" w:fill="D5F1EB"/>
                      </w:tcPr>
                      <w:p>
                        <w:pPr>
                          <w:pStyle w:val="TableParagraph"/>
                          <w:rPr>
                            <w:rFonts w:ascii="Times New Roman"/>
                            <w:sz w:val="18"/>
                          </w:rPr>
                        </w:pPr>
                      </w:p>
                    </w:tc>
                    <w:tc>
                      <w:tcPr>
                        <w:tcW w:w="2224" w:type="dxa"/>
                        <w:shd w:val="clear" w:color="auto" w:fill="D5F1EB"/>
                      </w:tcPr>
                      <w:p>
                        <w:pPr>
                          <w:pStyle w:val="TableParagraph"/>
                          <w:rPr>
                            <w:rFonts w:ascii="Times New Roman"/>
                            <w:sz w:val="18"/>
                          </w:rPr>
                        </w:pPr>
                      </w:p>
                    </w:tc>
                    <w:tc>
                      <w:tcPr>
                        <w:tcW w:w="2196" w:type="dxa"/>
                        <w:shd w:val="clear" w:color="auto" w:fill="D5F1EB"/>
                      </w:tcPr>
                      <w:p>
                        <w:pPr>
                          <w:pStyle w:val="TableParagraph"/>
                          <w:rPr>
                            <w:rFonts w:ascii="Times New Roman"/>
                            <w:sz w:val="18"/>
                          </w:rPr>
                        </w:pPr>
                      </w:p>
                    </w:tc>
                    <w:tc>
                      <w:tcPr>
                        <w:tcW w:w="2364" w:type="dxa"/>
                        <w:shd w:val="clear" w:color="auto" w:fill="D5F1EB"/>
                      </w:tcPr>
                      <w:p>
                        <w:pPr>
                          <w:pStyle w:val="TableParagraph"/>
                          <w:spacing w:line="243" w:lineRule="exact" w:before="153"/>
                          <w:ind w:left="132" w:right="97"/>
                          <w:jc w:val="center"/>
                          <w:rPr>
                            <w:sz w:val="20"/>
                          </w:rPr>
                        </w:pPr>
                        <w:r>
                          <w:rPr>
                            <w:sz w:val="20"/>
                          </w:rPr>
                          <w:t>Supporting our workforce</w:t>
                        </w:r>
                      </w:p>
                    </w:tc>
                    <w:tc>
                      <w:tcPr>
                        <w:tcW w:w="2179" w:type="dxa"/>
                        <w:shd w:val="clear" w:color="auto" w:fill="D5F1EB"/>
                      </w:tcPr>
                      <w:p>
                        <w:pPr>
                          <w:pStyle w:val="TableParagraph"/>
                          <w:spacing w:line="243" w:lineRule="exact" w:before="153"/>
                          <w:ind w:left="98" w:right="98"/>
                          <w:jc w:val="center"/>
                          <w:rPr>
                            <w:sz w:val="20"/>
                          </w:rPr>
                        </w:pPr>
                        <w:r>
                          <w:rPr>
                            <w:sz w:val="20"/>
                          </w:rPr>
                          <w:t>Our people are capable</w:t>
                        </w:r>
                      </w:p>
                    </w:tc>
                  </w:tr>
                  <w:tr>
                    <w:trPr>
                      <w:trHeight w:val="243" w:hRule="atLeast"/>
                    </w:trPr>
                    <w:tc>
                      <w:tcPr>
                        <w:tcW w:w="1104" w:type="dxa"/>
                      </w:tcPr>
                      <w:p>
                        <w:pPr>
                          <w:pStyle w:val="TableParagraph"/>
                          <w:rPr>
                            <w:rFonts w:ascii="Times New Roman"/>
                            <w:sz w:val="16"/>
                          </w:rPr>
                        </w:pPr>
                      </w:p>
                    </w:tc>
                    <w:tc>
                      <w:tcPr>
                        <w:tcW w:w="2224" w:type="dxa"/>
                        <w:shd w:val="clear" w:color="auto" w:fill="D5F1EB"/>
                      </w:tcPr>
                      <w:p>
                        <w:pPr>
                          <w:pStyle w:val="TableParagraph"/>
                          <w:spacing w:line="224" w:lineRule="exact"/>
                          <w:ind w:left="135" w:right="178"/>
                          <w:jc w:val="center"/>
                          <w:rPr>
                            <w:sz w:val="20"/>
                          </w:rPr>
                        </w:pPr>
                        <w:r>
                          <w:rPr>
                            <w:sz w:val="20"/>
                          </w:rPr>
                          <w:t>To provide reliable,</w:t>
                        </w:r>
                      </w:p>
                    </w:tc>
                    <w:tc>
                      <w:tcPr>
                        <w:tcW w:w="2196" w:type="dxa"/>
                        <w:shd w:val="clear" w:color="auto" w:fill="D5F1EB"/>
                      </w:tcPr>
                      <w:p>
                        <w:pPr>
                          <w:pStyle w:val="TableParagraph"/>
                          <w:spacing w:line="224" w:lineRule="exact"/>
                          <w:ind w:left="180" w:right="133"/>
                          <w:jc w:val="center"/>
                          <w:rPr>
                            <w:sz w:val="20"/>
                          </w:rPr>
                        </w:pPr>
                        <w:r>
                          <w:rPr>
                            <w:sz w:val="20"/>
                          </w:rPr>
                          <w:t>Providing incorrect or</w:t>
                        </w:r>
                      </w:p>
                    </w:tc>
                    <w:tc>
                      <w:tcPr>
                        <w:tcW w:w="2364" w:type="dxa"/>
                        <w:shd w:val="clear" w:color="auto" w:fill="D5F1EB"/>
                      </w:tcPr>
                      <w:p>
                        <w:pPr>
                          <w:pStyle w:val="TableParagraph"/>
                          <w:spacing w:line="224" w:lineRule="exact"/>
                          <w:ind w:left="132" w:right="95"/>
                          <w:jc w:val="center"/>
                          <w:rPr>
                            <w:sz w:val="20"/>
                          </w:rPr>
                        </w:pPr>
                        <w:r>
                          <w:rPr>
                            <w:sz w:val="20"/>
                          </w:rPr>
                          <w:t>to meet deadlines.</w:t>
                        </w:r>
                      </w:p>
                    </w:tc>
                    <w:tc>
                      <w:tcPr>
                        <w:tcW w:w="2179" w:type="dxa"/>
                        <w:shd w:val="clear" w:color="auto" w:fill="D5F1EB"/>
                      </w:tcPr>
                      <w:p>
                        <w:pPr>
                          <w:pStyle w:val="TableParagraph"/>
                          <w:spacing w:line="224" w:lineRule="exact"/>
                          <w:ind w:left="98" w:right="98"/>
                          <w:jc w:val="center"/>
                          <w:rPr>
                            <w:sz w:val="20"/>
                          </w:rPr>
                        </w:pPr>
                        <w:r>
                          <w:rPr>
                            <w:sz w:val="20"/>
                          </w:rPr>
                          <w:t>and produce high level</w:t>
                        </w:r>
                      </w:p>
                    </w:tc>
                  </w:tr>
                  <w:tr>
                    <w:trPr>
                      <w:trHeight w:val="243" w:hRule="atLeast"/>
                    </w:trPr>
                    <w:tc>
                      <w:tcPr>
                        <w:tcW w:w="1104" w:type="dxa"/>
                      </w:tcPr>
                      <w:p>
                        <w:pPr>
                          <w:pStyle w:val="TableParagraph"/>
                          <w:rPr>
                            <w:rFonts w:ascii="Times New Roman"/>
                            <w:sz w:val="16"/>
                          </w:rPr>
                        </w:pPr>
                      </w:p>
                    </w:tc>
                    <w:tc>
                      <w:tcPr>
                        <w:tcW w:w="2224" w:type="dxa"/>
                        <w:shd w:val="clear" w:color="auto" w:fill="D5F1EB"/>
                      </w:tcPr>
                      <w:p>
                        <w:pPr>
                          <w:pStyle w:val="TableParagraph"/>
                          <w:spacing w:line="224" w:lineRule="exact"/>
                          <w:ind w:left="135" w:right="179"/>
                          <w:jc w:val="center"/>
                          <w:rPr>
                            <w:sz w:val="20"/>
                          </w:rPr>
                        </w:pPr>
                        <w:r>
                          <w:rPr>
                            <w:sz w:val="20"/>
                          </w:rPr>
                          <w:t>appropriate and timely</w:t>
                        </w:r>
                      </w:p>
                    </w:tc>
                    <w:tc>
                      <w:tcPr>
                        <w:tcW w:w="2196" w:type="dxa"/>
                        <w:shd w:val="clear" w:color="auto" w:fill="D5F1EB"/>
                      </w:tcPr>
                      <w:p>
                        <w:pPr>
                          <w:pStyle w:val="TableParagraph"/>
                          <w:spacing w:line="224" w:lineRule="exact"/>
                          <w:ind w:left="176" w:right="133"/>
                          <w:jc w:val="center"/>
                          <w:rPr>
                            <w:sz w:val="20"/>
                          </w:rPr>
                        </w:pPr>
                        <w:r>
                          <w:rPr>
                            <w:sz w:val="20"/>
                          </w:rPr>
                          <w:t>unclear advice. Not</w:t>
                        </w:r>
                      </w:p>
                    </w:tc>
                    <w:tc>
                      <w:tcPr>
                        <w:tcW w:w="2364" w:type="dxa"/>
                        <w:shd w:val="clear" w:color="auto" w:fill="D5F1EB"/>
                      </w:tcPr>
                      <w:p>
                        <w:pPr>
                          <w:pStyle w:val="TableParagraph"/>
                          <w:spacing w:line="224" w:lineRule="exact"/>
                          <w:ind w:left="132" w:right="97"/>
                          <w:jc w:val="center"/>
                          <w:rPr>
                            <w:sz w:val="20"/>
                          </w:rPr>
                        </w:pPr>
                        <w:r>
                          <w:rPr>
                            <w:sz w:val="20"/>
                          </w:rPr>
                          <w:t>Training to ensure</w:t>
                        </w:r>
                      </w:p>
                    </w:tc>
                    <w:tc>
                      <w:tcPr>
                        <w:tcW w:w="2179" w:type="dxa"/>
                        <w:shd w:val="clear" w:color="auto" w:fill="D5F1EB"/>
                      </w:tcPr>
                      <w:p>
                        <w:pPr>
                          <w:pStyle w:val="TableParagraph"/>
                          <w:spacing w:line="224" w:lineRule="exact"/>
                          <w:ind w:left="99" w:right="98"/>
                          <w:jc w:val="center"/>
                          <w:rPr>
                            <w:sz w:val="20"/>
                          </w:rPr>
                        </w:pPr>
                        <w:r>
                          <w:rPr>
                            <w:sz w:val="20"/>
                          </w:rPr>
                          <w:t>results. We provide</w:t>
                        </w:r>
                      </w:p>
                    </w:tc>
                  </w:tr>
                  <w:tr>
                    <w:trPr>
                      <w:trHeight w:val="244" w:hRule="atLeast"/>
                    </w:trPr>
                    <w:tc>
                      <w:tcPr>
                        <w:tcW w:w="1104" w:type="dxa"/>
                        <w:shd w:val="clear" w:color="auto" w:fill="D5F1EB"/>
                      </w:tcPr>
                      <w:p>
                        <w:pPr>
                          <w:pStyle w:val="TableParagraph"/>
                          <w:rPr>
                            <w:rFonts w:ascii="Times New Roman"/>
                            <w:sz w:val="16"/>
                          </w:rPr>
                        </w:pPr>
                      </w:p>
                    </w:tc>
                    <w:tc>
                      <w:tcPr>
                        <w:tcW w:w="2224" w:type="dxa"/>
                        <w:shd w:val="clear" w:color="auto" w:fill="D5F1EB"/>
                      </w:tcPr>
                      <w:p>
                        <w:pPr>
                          <w:pStyle w:val="TableParagraph"/>
                          <w:spacing w:line="225" w:lineRule="exact"/>
                          <w:ind w:left="133" w:right="179"/>
                          <w:jc w:val="center"/>
                          <w:rPr>
                            <w:sz w:val="20"/>
                          </w:rPr>
                        </w:pPr>
                        <w:r>
                          <w:rPr>
                            <w:sz w:val="20"/>
                          </w:rPr>
                          <w:t>advice to designated</w:t>
                        </w:r>
                      </w:p>
                    </w:tc>
                    <w:tc>
                      <w:tcPr>
                        <w:tcW w:w="2196" w:type="dxa"/>
                        <w:shd w:val="clear" w:color="auto" w:fill="D5F1EB"/>
                      </w:tcPr>
                      <w:p>
                        <w:pPr>
                          <w:pStyle w:val="TableParagraph"/>
                          <w:spacing w:line="225" w:lineRule="exact"/>
                          <w:ind w:left="179" w:right="133"/>
                          <w:jc w:val="center"/>
                          <w:rPr>
                            <w:sz w:val="20"/>
                          </w:rPr>
                        </w:pPr>
                        <w:r>
                          <w:rPr>
                            <w:sz w:val="20"/>
                          </w:rPr>
                          <w:t>providing advice in a</w:t>
                        </w:r>
                      </w:p>
                    </w:tc>
                    <w:tc>
                      <w:tcPr>
                        <w:tcW w:w="2364" w:type="dxa"/>
                        <w:shd w:val="clear" w:color="auto" w:fill="D5F1EB"/>
                      </w:tcPr>
                      <w:p>
                        <w:pPr>
                          <w:pStyle w:val="TableParagraph"/>
                          <w:spacing w:line="225" w:lineRule="exact"/>
                          <w:ind w:left="132" w:right="94"/>
                          <w:jc w:val="center"/>
                          <w:rPr>
                            <w:sz w:val="20"/>
                          </w:rPr>
                        </w:pPr>
                        <w:r>
                          <w:rPr>
                            <w:sz w:val="20"/>
                          </w:rPr>
                          <w:t>reliable, appropriate</w:t>
                        </w:r>
                      </w:p>
                    </w:tc>
                    <w:tc>
                      <w:tcPr>
                        <w:tcW w:w="2179" w:type="dxa"/>
                        <w:shd w:val="clear" w:color="auto" w:fill="D5F1EB"/>
                      </w:tcPr>
                      <w:p>
                        <w:pPr>
                          <w:pStyle w:val="TableParagraph"/>
                          <w:spacing w:line="225" w:lineRule="exact"/>
                          <w:ind w:left="99" w:right="98"/>
                          <w:jc w:val="center"/>
                          <w:rPr>
                            <w:sz w:val="20"/>
                          </w:rPr>
                        </w:pPr>
                        <w:r>
                          <w:rPr>
                            <w:sz w:val="20"/>
                          </w:rPr>
                          <w:t>advice in a reasonable</w:t>
                        </w:r>
                      </w:p>
                    </w:tc>
                  </w:tr>
                  <w:tr>
                    <w:trPr>
                      <w:trHeight w:val="262" w:hRule="atLeast"/>
                    </w:trPr>
                    <w:tc>
                      <w:tcPr>
                        <w:tcW w:w="1104" w:type="dxa"/>
                        <w:shd w:val="clear" w:color="auto" w:fill="D5F1EB"/>
                      </w:tcPr>
                      <w:p>
                        <w:pPr>
                          <w:pStyle w:val="TableParagraph"/>
                          <w:spacing w:line="225" w:lineRule="exact" w:before="17"/>
                          <w:ind w:right="163"/>
                          <w:jc w:val="right"/>
                          <w:rPr>
                            <w:b/>
                            <w:sz w:val="20"/>
                          </w:rPr>
                        </w:pPr>
                        <w:r>
                          <w:rPr>
                            <w:b/>
                            <w:color w:val="FF6621"/>
                            <w:sz w:val="20"/>
                          </w:rPr>
                          <w:t>Integrity</w:t>
                        </w:r>
                      </w:p>
                    </w:tc>
                    <w:tc>
                      <w:tcPr>
                        <w:tcW w:w="2224" w:type="dxa"/>
                        <w:shd w:val="clear" w:color="auto" w:fill="D5F1EB"/>
                      </w:tcPr>
                      <w:p>
                        <w:pPr>
                          <w:pStyle w:val="TableParagraph"/>
                          <w:spacing w:line="226" w:lineRule="exact"/>
                          <w:ind w:left="132" w:right="179"/>
                          <w:jc w:val="center"/>
                          <w:rPr>
                            <w:sz w:val="20"/>
                          </w:rPr>
                        </w:pPr>
                        <w:r>
                          <w:rPr>
                            <w:sz w:val="20"/>
                          </w:rPr>
                          <w:t>persons on ethics and</w:t>
                        </w:r>
                      </w:p>
                    </w:tc>
                    <w:tc>
                      <w:tcPr>
                        <w:tcW w:w="2196" w:type="dxa"/>
                        <w:shd w:val="clear" w:color="auto" w:fill="D5F1EB"/>
                      </w:tcPr>
                      <w:p>
                        <w:pPr>
                          <w:pStyle w:val="TableParagraph"/>
                          <w:spacing w:line="226" w:lineRule="exact"/>
                          <w:ind w:left="180" w:right="133"/>
                          <w:jc w:val="center"/>
                          <w:rPr>
                            <w:sz w:val="20"/>
                          </w:rPr>
                        </w:pPr>
                        <w:r>
                          <w:rPr>
                            <w:sz w:val="20"/>
                          </w:rPr>
                          <w:t>timely manner. Loss of</w:t>
                        </w:r>
                      </w:p>
                    </w:tc>
                    <w:tc>
                      <w:tcPr>
                        <w:tcW w:w="2364" w:type="dxa"/>
                        <w:shd w:val="clear" w:color="auto" w:fill="D5F1EB"/>
                      </w:tcPr>
                      <w:p>
                        <w:pPr>
                          <w:pStyle w:val="TableParagraph"/>
                          <w:spacing w:line="226" w:lineRule="exact"/>
                          <w:ind w:left="132" w:right="96"/>
                          <w:jc w:val="center"/>
                          <w:rPr>
                            <w:sz w:val="20"/>
                          </w:rPr>
                        </w:pPr>
                        <w:r>
                          <w:rPr>
                            <w:sz w:val="20"/>
                          </w:rPr>
                          <w:t>advice. Putting quality</w:t>
                        </w:r>
                      </w:p>
                    </w:tc>
                    <w:tc>
                      <w:tcPr>
                        <w:tcW w:w="2179" w:type="dxa"/>
                        <w:shd w:val="clear" w:color="auto" w:fill="D5F1EB"/>
                      </w:tcPr>
                      <w:p>
                        <w:pPr>
                          <w:pStyle w:val="TableParagraph"/>
                          <w:spacing w:line="226" w:lineRule="exact"/>
                          <w:ind w:left="98" w:right="98"/>
                          <w:jc w:val="center"/>
                          <w:rPr>
                            <w:sz w:val="20"/>
                          </w:rPr>
                        </w:pPr>
                        <w:r>
                          <w:rPr>
                            <w:sz w:val="20"/>
                          </w:rPr>
                          <w:t>timeframe for the</w:t>
                        </w:r>
                      </w:p>
                    </w:tc>
                  </w:tr>
                  <w:tr>
                    <w:trPr>
                      <w:trHeight w:val="604" w:hRule="atLeast"/>
                    </w:trPr>
                    <w:tc>
                      <w:tcPr>
                        <w:tcW w:w="1104" w:type="dxa"/>
                        <w:shd w:val="clear" w:color="auto" w:fill="D5F1EB"/>
                      </w:tcPr>
                      <w:p>
                        <w:pPr>
                          <w:pStyle w:val="TableParagraph"/>
                          <w:spacing w:line="244" w:lineRule="exact"/>
                          <w:ind w:right="153"/>
                          <w:jc w:val="right"/>
                          <w:rPr>
                            <w:b/>
                            <w:sz w:val="20"/>
                          </w:rPr>
                        </w:pPr>
                        <w:r>
                          <w:rPr>
                            <w:b/>
                            <w:color w:val="FF6621"/>
                            <w:w w:val="95"/>
                            <w:sz w:val="20"/>
                          </w:rPr>
                          <w:t>Function</w:t>
                        </w:r>
                      </w:p>
                    </w:tc>
                    <w:tc>
                      <w:tcPr>
                        <w:tcW w:w="2224" w:type="dxa"/>
                        <w:shd w:val="clear" w:color="auto" w:fill="D5F1EB"/>
                      </w:tcPr>
                      <w:p>
                        <w:pPr>
                          <w:pStyle w:val="TableParagraph"/>
                          <w:spacing w:line="208" w:lineRule="exact"/>
                          <w:ind w:left="131" w:right="179"/>
                          <w:jc w:val="center"/>
                          <w:rPr>
                            <w:sz w:val="20"/>
                          </w:rPr>
                        </w:pPr>
                        <w:r>
                          <w:rPr>
                            <w:sz w:val="20"/>
                          </w:rPr>
                          <w:t>integrity issues.</w:t>
                        </w:r>
                      </w:p>
                    </w:tc>
                    <w:tc>
                      <w:tcPr>
                        <w:tcW w:w="2196" w:type="dxa"/>
                        <w:shd w:val="clear" w:color="auto" w:fill="D5F1EB"/>
                      </w:tcPr>
                      <w:p>
                        <w:pPr>
                          <w:pStyle w:val="TableParagraph"/>
                          <w:spacing w:line="208" w:lineRule="exact"/>
                          <w:ind w:left="177" w:right="133"/>
                          <w:jc w:val="center"/>
                          <w:rPr>
                            <w:sz w:val="20"/>
                          </w:rPr>
                        </w:pPr>
                        <w:r>
                          <w:rPr>
                            <w:sz w:val="20"/>
                          </w:rPr>
                          <w:t>reputation.</w:t>
                        </w:r>
                      </w:p>
                    </w:tc>
                    <w:tc>
                      <w:tcPr>
                        <w:tcW w:w="2364" w:type="dxa"/>
                        <w:shd w:val="clear" w:color="auto" w:fill="D5F1EB"/>
                      </w:tcPr>
                      <w:p>
                        <w:pPr>
                          <w:pStyle w:val="TableParagraph"/>
                          <w:spacing w:line="207" w:lineRule="exact"/>
                          <w:ind w:left="132" w:right="96"/>
                          <w:jc w:val="center"/>
                          <w:rPr>
                            <w:sz w:val="20"/>
                          </w:rPr>
                        </w:pPr>
                        <w:r>
                          <w:rPr>
                            <w:sz w:val="20"/>
                          </w:rPr>
                          <w:t>assurance systems in</w:t>
                        </w:r>
                      </w:p>
                      <w:p>
                        <w:pPr>
                          <w:pStyle w:val="TableParagraph"/>
                          <w:spacing w:line="243" w:lineRule="exact"/>
                          <w:ind w:left="130" w:right="97"/>
                          <w:jc w:val="center"/>
                          <w:rPr>
                            <w:sz w:val="20"/>
                          </w:rPr>
                        </w:pPr>
                        <w:r>
                          <w:rPr>
                            <w:sz w:val="20"/>
                          </w:rPr>
                          <w:t>place.</w:t>
                        </w:r>
                      </w:p>
                    </w:tc>
                    <w:tc>
                      <w:tcPr>
                        <w:tcW w:w="2179" w:type="dxa"/>
                        <w:shd w:val="clear" w:color="auto" w:fill="D5F1EB"/>
                      </w:tcPr>
                      <w:p>
                        <w:pPr>
                          <w:pStyle w:val="TableParagraph"/>
                          <w:spacing w:line="207" w:lineRule="exact"/>
                          <w:ind w:left="99" w:right="97"/>
                          <w:jc w:val="center"/>
                          <w:rPr>
                            <w:sz w:val="20"/>
                          </w:rPr>
                        </w:pPr>
                        <w:r>
                          <w:rPr>
                            <w:sz w:val="20"/>
                          </w:rPr>
                          <w:t>designated person’s</w:t>
                        </w:r>
                      </w:p>
                      <w:p>
                        <w:pPr>
                          <w:pStyle w:val="TableParagraph"/>
                          <w:spacing w:line="243" w:lineRule="exact"/>
                          <w:ind w:left="98" w:right="98"/>
                          <w:jc w:val="center"/>
                          <w:rPr>
                            <w:sz w:val="20"/>
                          </w:rPr>
                        </w:pPr>
                        <w:r>
                          <w:rPr>
                            <w:sz w:val="20"/>
                          </w:rPr>
                          <w:t>purpose.</w:t>
                        </w:r>
                      </w:p>
                    </w:tc>
                  </w:tr>
                </w:tbl>
                <w:p>
                  <w:pPr>
                    <w:pStyle w:val="BodyText"/>
                  </w:pPr>
                </w:p>
              </w:txbxContent>
            </v:textbox>
            <w10:wrap type="none"/>
          </v:shape>
        </w:pict>
      </w:r>
      <w:r>
        <w:rPr/>
        <w:drawing>
          <wp:anchor distT="0" distB="0" distL="0" distR="0" allowOverlap="1" layoutInCell="1" locked="0" behindDoc="0" simplePos="0" relativeHeight="15734784">
            <wp:simplePos x="0" y="0"/>
            <wp:positionH relativeFrom="page">
              <wp:posOffset>3942079</wp:posOffset>
            </wp:positionH>
            <wp:positionV relativeFrom="paragraph">
              <wp:posOffset>555119</wp:posOffset>
            </wp:positionV>
            <wp:extent cx="532485" cy="517867"/>
            <wp:effectExtent l="0" t="0" r="0" b="0"/>
            <wp:wrapNone/>
            <wp:docPr id="11" name="image11.jpeg"/>
            <wp:cNvGraphicFramePr>
              <a:graphicFrameLocks noChangeAspect="1"/>
            </wp:cNvGraphicFramePr>
            <a:graphic>
              <a:graphicData uri="http://schemas.openxmlformats.org/drawingml/2006/picture">
                <pic:pic>
                  <pic:nvPicPr>
                    <pic:cNvPr id="12" name="image11.jpeg"/>
                    <pic:cNvPicPr/>
                  </pic:nvPicPr>
                  <pic:blipFill>
                    <a:blip r:embed="rId18" cstate="print"/>
                    <a:stretch>
                      <a:fillRect/>
                    </a:stretch>
                  </pic:blipFill>
                  <pic:spPr>
                    <a:xfrm>
                      <a:off x="0" y="0"/>
                      <a:ext cx="532485" cy="517867"/>
                    </a:xfrm>
                    <a:prstGeom prst="rect">
                      <a:avLst/>
                    </a:prstGeom>
                  </pic:spPr>
                </pic:pic>
              </a:graphicData>
            </a:graphic>
          </wp:anchor>
        </w:drawing>
      </w:r>
      <w:r>
        <w:rPr>
          <w:rFonts w:ascii="Gill Sans MT" w:hAnsi="Gill Sans MT"/>
          <w:color w:val="2CB99D"/>
          <w:sz w:val="32"/>
        </w:rPr>
        <w:t>S</w:t>
      </w:r>
      <w:r>
        <w:rPr>
          <w:rFonts w:ascii="Gill Sans MT" w:hAnsi="Gill Sans MT"/>
          <w:color w:val="2CB99D"/>
          <w:sz w:val="25"/>
        </w:rPr>
        <w:t>TRATEGIC </w:t>
      </w:r>
      <w:r>
        <w:rPr>
          <w:rFonts w:ascii="Gill Sans MT" w:hAnsi="Gill Sans MT"/>
          <w:color w:val="2CB99D"/>
          <w:sz w:val="32"/>
        </w:rPr>
        <w:t>P</w:t>
      </w:r>
      <w:r>
        <w:rPr>
          <w:rFonts w:ascii="Gill Sans MT" w:hAnsi="Gill Sans MT"/>
          <w:color w:val="2CB99D"/>
          <w:sz w:val="25"/>
        </w:rPr>
        <w:t>LAN </w:t>
      </w:r>
      <w:r>
        <w:rPr>
          <w:rFonts w:ascii="Gill Sans MT" w:hAnsi="Gill Sans MT"/>
          <w:color w:val="2CB99D"/>
          <w:sz w:val="32"/>
        </w:rPr>
        <w:t>2019–2022</w:t>
      </w: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spacing w:before="6"/>
        <w:rPr>
          <w:rFonts w:ascii="Gill Sans MT"/>
          <w:sz w:val="18"/>
        </w:rPr>
      </w:pPr>
      <w:r>
        <w:rPr/>
        <w:pict>
          <v:group style="position:absolute;margin-left:35.563999pt;margin-top:12.706601pt;width:770.3pt;height:154.5pt;mso-position-horizontal-relative:page;mso-position-vertical-relative:paragraph;z-index:-15725056;mso-wrap-distance-left:0;mso-wrap-distance-right:0" coordorigin="711,254" coordsize="15406,3090">
            <v:rect style="position:absolute;left:711;top:254;width:15406;height:3090" filled="true" fillcolor="#d9d9d9" stroked="false">
              <v:fill opacity="49087f" type="solid"/>
            </v:rect>
            <v:shape style="position:absolute;left:2023;top:630;width:1008;height:1008" type="#_x0000_t75" stroked="false">
              <v:imagedata r:id="rId19" o:title=""/>
            </v:shape>
            <v:shape style="position:absolute;left:5946;top:640;width:1008;height:988" type="#_x0000_t75" stroked="false">
              <v:imagedata r:id="rId20" o:title=""/>
            </v:shape>
            <v:shape style="position:absolute;left:9869;top:631;width:1008;height:1005" type="#_x0000_t75" stroked="false">
              <v:imagedata r:id="rId21" o:title=""/>
            </v:shape>
            <v:shape style="position:absolute;left:13792;top:634;width:1008;height:1000" type="#_x0000_t75" stroked="false">
              <v:imagedata r:id="rId22" o:title=""/>
            </v:shape>
            <v:shape style="position:absolute;left:854;top:412;width:1125;height:257" type="#_x0000_t202" filled="false" stroked="false">
              <v:textbox inset="0,0,0,0">
                <w:txbxContent>
                  <w:p>
                    <w:pPr>
                      <w:spacing w:before="0"/>
                      <w:ind w:left="0" w:right="0" w:firstLine="0"/>
                      <w:jc w:val="left"/>
                      <w:rPr>
                        <w:rFonts w:ascii="Gill Sans MT"/>
                        <w:sz w:val="17"/>
                      </w:rPr>
                    </w:pPr>
                    <w:r>
                      <w:rPr>
                        <w:rFonts w:ascii="Gill Sans MT"/>
                        <w:color w:val="71A276"/>
                        <w:sz w:val="22"/>
                      </w:rPr>
                      <w:t>O</w:t>
                    </w:r>
                    <w:r>
                      <w:rPr>
                        <w:rFonts w:ascii="Gill Sans MT"/>
                        <w:color w:val="71A276"/>
                        <w:sz w:val="17"/>
                      </w:rPr>
                      <w:t>UR </w:t>
                    </w:r>
                    <w:r>
                      <w:rPr>
                        <w:rFonts w:ascii="Gill Sans MT"/>
                        <w:color w:val="71A276"/>
                        <w:sz w:val="22"/>
                      </w:rPr>
                      <w:t>V</w:t>
                    </w:r>
                    <w:r>
                      <w:rPr>
                        <w:rFonts w:ascii="Gill Sans MT"/>
                        <w:color w:val="71A276"/>
                        <w:sz w:val="17"/>
                      </w:rPr>
                      <w:t>ALUES</w:t>
                    </w:r>
                  </w:p>
                </w:txbxContent>
              </v:textbox>
              <w10:wrap type="none"/>
            </v:shape>
            <v:shape style="position:absolute;left:1022;top:1692;width:3027;height:1246" type="#_x0000_t202" filled="false" stroked="false">
              <v:textbox inset="0,0,0,0">
                <w:txbxContent>
                  <w:p>
                    <w:pPr>
                      <w:spacing w:line="203" w:lineRule="exact" w:before="0"/>
                      <w:ind w:left="0" w:right="20" w:firstLine="0"/>
                      <w:jc w:val="center"/>
                      <w:rPr>
                        <w:b/>
                        <w:sz w:val="20"/>
                      </w:rPr>
                    </w:pPr>
                    <w:r>
                      <w:rPr>
                        <w:b/>
                        <w:color w:val="D09B3E"/>
                        <w:sz w:val="20"/>
                      </w:rPr>
                      <w:t>Challenge</w:t>
                    </w:r>
                  </w:p>
                  <w:p>
                    <w:pPr>
                      <w:spacing w:before="70"/>
                      <w:ind w:left="0" w:right="18" w:firstLine="0"/>
                      <w:jc w:val="center"/>
                      <w:rPr>
                        <w:sz w:val="20"/>
                      </w:rPr>
                    </w:pPr>
                    <w:r>
                      <w:rPr>
                        <w:sz w:val="20"/>
                      </w:rPr>
                      <w:t>Value integrity by contributing to research in the area of integrity.</w:t>
                    </w:r>
                  </w:p>
                  <w:p>
                    <w:pPr>
                      <w:spacing w:before="0"/>
                      <w:ind w:left="0" w:right="18" w:firstLine="0"/>
                      <w:jc w:val="center"/>
                      <w:rPr>
                        <w:sz w:val="20"/>
                      </w:rPr>
                    </w:pPr>
                    <w:r>
                      <w:rPr>
                        <w:sz w:val="20"/>
                      </w:rPr>
                      <w:t>Challenge misconceptions and</w:t>
                    </w:r>
                    <w:r>
                      <w:rPr>
                        <w:spacing w:val="-16"/>
                        <w:sz w:val="20"/>
                      </w:rPr>
                      <w:t> </w:t>
                    </w:r>
                    <w:r>
                      <w:rPr>
                        <w:sz w:val="20"/>
                      </w:rPr>
                      <w:t>myths around ethics and</w:t>
                    </w:r>
                    <w:r>
                      <w:rPr>
                        <w:spacing w:val="-4"/>
                        <w:sz w:val="20"/>
                      </w:rPr>
                      <w:t> </w:t>
                    </w:r>
                    <w:r>
                      <w:rPr>
                        <w:sz w:val="20"/>
                      </w:rPr>
                      <w:t>integrity.</w:t>
                    </w:r>
                  </w:p>
                </w:txbxContent>
              </v:textbox>
              <w10:wrap type="none"/>
            </v:shape>
            <v:shape style="position:absolute;left:4834;top:1692;width:3247;height:1491" type="#_x0000_t202" filled="false" stroked="false">
              <v:textbox inset="0,0,0,0">
                <w:txbxContent>
                  <w:p>
                    <w:pPr>
                      <w:spacing w:line="203" w:lineRule="exact" w:before="0"/>
                      <w:ind w:left="37" w:right="48" w:firstLine="0"/>
                      <w:jc w:val="center"/>
                      <w:rPr>
                        <w:b/>
                        <w:sz w:val="20"/>
                      </w:rPr>
                    </w:pPr>
                    <w:r>
                      <w:rPr>
                        <w:b/>
                        <w:color w:val="998575"/>
                        <w:sz w:val="20"/>
                      </w:rPr>
                      <w:t>Engage</w:t>
                    </w:r>
                  </w:p>
                  <w:p>
                    <w:pPr>
                      <w:spacing w:before="70"/>
                      <w:ind w:left="37" w:right="56" w:firstLine="0"/>
                      <w:jc w:val="center"/>
                      <w:rPr>
                        <w:sz w:val="20"/>
                      </w:rPr>
                    </w:pPr>
                    <w:r>
                      <w:rPr>
                        <w:sz w:val="20"/>
                      </w:rPr>
                      <w:t>Value integrity by promoting integrity.</w:t>
                    </w:r>
                  </w:p>
                  <w:p>
                    <w:pPr>
                      <w:spacing w:before="1"/>
                      <w:ind w:left="0" w:right="-9" w:firstLine="247"/>
                      <w:jc w:val="left"/>
                      <w:rPr>
                        <w:sz w:val="20"/>
                      </w:rPr>
                    </w:pPr>
                    <w:r>
                      <w:rPr>
                        <w:sz w:val="20"/>
                      </w:rPr>
                      <w:t>Engage with the public and public officials to raise awareness about ethics</w:t>
                    </w:r>
                  </w:p>
                  <w:p>
                    <w:pPr>
                      <w:spacing w:before="0"/>
                      <w:ind w:left="643" w:right="289" w:hanging="354"/>
                      <w:jc w:val="left"/>
                      <w:rPr>
                        <w:sz w:val="20"/>
                      </w:rPr>
                    </w:pPr>
                    <w:r>
                      <w:rPr>
                        <w:sz w:val="20"/>
                      </w:rPr>
                      <w:t>and integrity, and the role of the Integrity Commissioner.</w:t>
                    </w:r>
                  </w:p>
                </w:txbxContent>
              </v:textbox>
              <w10:wrap type="none"/>
            </v:shape>
            <v:shape style="position:absolute;left:8806;top:1692;width:3152;height:1246" type="#_x0000_t202" filled="false" stroked="false">
              <v:textbox inset="0,0,0,0">
                <w:txbxContent>
                  <w:p>
                    <w:pPr>
                      <w:spacing w:line="203" w:lineRule="exact" w:before="0"/>
                      <w:ind w:left="15" w:right="27" w:firstLine="0"/>
                      <w:jc w:val="center"/>
                      <w:rPr>
                        <w:b/>
                        <w:sz w:val="20"/>
                      </w:rPr>
                    </w:pPr>
                    <w:r>
                      <w:rPr>
                        <w:b/>
                        <w:color w:val="E64E41"/>
                        <w:sz w:val="20"/>
                      </w:rPr>
                      <w:t>Lead</w:t>
                    </w:r>
                  </w:p>
                  <w:p>
                    <w:pPr>
                      <w:spacing w:before="70"/>
                      <w:ind w:left="15" w:right="35" w:firstLine="0"/>
                      <w:jc w:val="center"/>
                      <w:rPr>
                        <w:sz w:val="20"/>
                      </w:rPr>
                    </w:pPr>
                    <w:r>
                      <w:rPr>
                        <w:sz w:val="20"/>
                      </w:rPr>
                      <w:t>Value integrity by projecting</w:t>
                    </w:r>
                    <w:r>
                      <w:rPr>
                        <w:spacing w:val="-19"/>
                        <w:sz w:val="20"/>
                      </w:rPr>
                      <w:t> </w:t>
                    </w:r>
                    <w:r>
                      <w:rPr>
                        <w:sz w:val="20"/>
                      </w:rPr>
                      <w:t>integrity.</w:t>
                    </w:r>
                  </w:p>
                  <w:p>
                    <w:pPr>
                      <w:spacing w:before="1"/>
                      <w:ind w:left="0" w:right="16" w:firstLine="129"/>
                      <w:jc w:val="left"/>
                      <w:rPr>
                        <w:sz w:val="20"/>
                      </w:rPr>
                    </w:pPr>
                    <w:r>
                      <w:rPr>
                        <w:sz w:val="20"/>
                      </w:rPr>
                      <w:t>Show leadership by developing and promoting good practice standards</w:t>
                    </w:r>
                    <w:r>
                      <w:rPr>
                        <w:spacing w:val="-22"/>
                        <w:sz w:val="20"/>
                      </w:rPr>
                      <w:t> </w:t>
                    </w:r>
                    <w:r>
                      <w:rPr>
                        <w:sz w:val="20"/>
                      </w:rPr>
                      <w:t>for</w:t>
                    </w:r>
                  </w:p>
                  <w:p>
                    <w:pPr>
                      <w:spacing w:line="240" w:lineRule="exact" w:before="0"/>
                      <w:ind w:left="761" w:right="0" w:firstLine="0"/>
                      <w:jc w:val="left"/>
                      <w:rPr>
                        <w:sz w:val="20"/>
                      </w:rPr>
                    </w:pPr>
                    <w:r>
                      <w:rPr>
                        <w:sz w:val="20"/>
                      </w:rPr>
                      <w:t>ethics and integrity.</w:t>
                    </w:r>
                  </w:p>
                </w:txbxContent>
              </v:textbox>
              <w10:wrap type="none"/>
            </v:shape>
            <v:shape style="position:absolute;left:12710;top:1692;width:3193;height:1246" type="#_x0000_t202" filled="false" stroked="false">
              <v:textbox inset="0,0,0,0">
                <w:txbxContent>
                  <w:p>
                    <w:pPr>
                      <w:spacing w:line="203" w:lineRule="exact" w:before="0"/>
                      <w:ind w:left="0" w:right="18" w:firstLine="0"/>
                      <w:jc w:val="center"/>
                      <w:rPr>
                        <w:b/>
                        <w:sz w:val="20"/>
                      </w:rPr>
                    </w:pPr>
                    <w:r>
                      <w:rPr>
                        <w:b/>
                        <w:color w:val="43C5B8"/>
                        <w:sz w:val="20"/>
                      </w:rPr>
                      <w:t>Resolve</w:t>
                    </w:r>
                  </w:p>
                  <w:p>
                    <w:pPr>
                      <w:spacing w:before="70"/>
                      <w:ind w:left="0" w:right="18" w:firstLine="0"/>
                      <w:jc w:val="center"/>
                      <w:rPr>
                        <w:sz w:val="20"/>
                      </w:rPr>
                    </w:pPr>
                    <w:r>
                      <w:rPr>
                        <w:sz w:val="20"/>
                      </w:rPr>
                      <w:t>Value integrity by embedding</w:t>
                    </w:r>
                    <w:r>
                      <w:rPr>
                        <w:spacing w:val="-14"/>
                        <w:sz w:val="20"/>
                      </w:rPr>
                      <w:t> </w:t>
                    </w:r>
                    <w:r>
                      <w:rPr>
                        <w:sz w:val="20"/>
                      </w:rPr>
                      <w:t>integrity. Support and assist designated persons to resolve ethics and integrity issues in the public</w:t>
                    </w:r>
                    <w:r>
                      <w:rPr>
                        <w:spacing w:val="-3"/>
                        <w:sz w:val="20"/>
                      </w:rPr>
                      <w:t> </w:t>
                    </w:r>
                    <w:r>
                      <w:rPr>
                        <w:sz w:val="20"/>
                      </w:rPr>
                      <w:t>interest.</w:t>
                    </w:r>
                  </w:p>
                </w:txbxContent>
              </v:textbox>
              <w10:wrap type="none"/>
            </v:shape>
            <w10:wrap type="topAndBottom"/>
          </v:group>
        </w:pict>
      </w:r>
    </w:p>
    <w:p>
      <w:pPr>
        <w:spacing w:after="0"/>
        <w:rPr>
          <w:rFonts w:ascii="Gill Sans MT"/>
          <w:sz w:val="18"/>
        </w:rPr>
        <w:sectPr>
          <w:pgSz w:w="16840" w:h="11910" w:orient="landscape"/>
          <w:pgMar w:header="0" w:footer="360" w:top="660" w:bottom="540" w:left="580" w:right="620"/>
        </w:sectPr>
      </w:pPr>
    </w:p>
    <w:p>
      <w:pPr>
        <w:pStyle w:val="Heading2"/>
        <w:spacing w:before="8"/>
      </w:pPr>
      <w:r>
        <w:rPr>
          <w:color w:val="71A276"/>
          <w:w w:val="110"/>
        </w:rPr>
        <w:t>The Queensland integrity commissioner</w:t>
      </w:r>
    </w:p>
    <w:p>
      <w:pPr>
        <w:pStyle w:val="BodyText"/>
        <w:spacing w:before="6"/>
        <w:rPr>
          <w:b/>
          <w:sz w:val="12"/>
        </w:rPr>
      </w:pPr>
    </w:p>
    <w:p>
      <w:pPr>
        <w:spacing w:after="0"/>
        <w:rPr>
          <w:sz w:val="12"/>
        </w:rPr>
        <w:sectPr>
          <w:pgSz w:w="16840" w:h="11910" w:orient="landscape"/>
          <w:pgMar w:header="0" w:footer="360" w:top="780" w:bottom="540" w:left="580" w:right="620"/>
        </w:sectPr>
      </w:pPr>
    </w:p>
    <w:p>
      <w:pPr>
        <w:pStyle w:val="BodyText"/>
        <w:spacing w:line="276" w:lineRule="auto" w:before="83"/>
        <w:ind w:left="245" w:right="44"/>
        <w:jc w:val="both"/>
      </w:pPr>
      <w:r>
        <w:rPr/>
        <w:t>The Queensland Integrity Commissioner is an independent officer of the Queensland Parliament and reports through the Economics and Governance Committee.</w:t>
      </w:r>
    </w:p>
    <w:p>
      <w:pPr>
        <w:pStyle w:val="BodyText"/>
      </w:pPr>
    </w:p>
    <w:p>
      <w:pPr>
        <w:pStyle w:val="BodyText"/>
        <w:spacing w:before="10"/>
        <w:rPr>
          <w:sz w:val="22"/>
        </w:rPr>
      </w:pPr>
    </w:p>
    <w:p>
      <w:pPr>
        <w:pStyle w:val="Heading5"/>
      </w:pPr>
      <w:r>
        <w:rPr>
          <w:w w:val="110"/>
        </w:rPr>
        <w:t>Role and functions</w:t>
      </w:r>
    </w:p>
    <w:p>
      <w:pPr>
        <w:pStyle w:val="BodyText"/>
        <w:spacing w:before="159"/>
        <w:ind w:left="245"/>
        <w:rPr>
          <w:i/>
        </w:rPr>
      </w:pPr>
      <w:r>
        <w:rPr/>
        <w:t>The functions of the Integrity Commissioner are set out in section 7 of the </w:t>
      </w:r>
      <w:r>
        <w:rPr>
          <w:i/>
        </w:rPr>
        <w:t>Integrity Act</w:t>
      </w:r>
    </w:p>
    <w:p>
      <w:pPr>
        <w:spacing w:before="36"/>
        <w:ind w:left="245" w:right="0" w:firstLine="0"/>
        <w:jc w:val="left"/>
        <w:rPr>
          <w:sz w:val="20"/>
        </w:rPr>
      </w:pPr>
      <w:r>
        <w:rPr>
          <w:i/>
          <w:sz w:val="20"/>
        </w:rPr>
        <w:t>2009. </w:t>
      </w:r>
      <w:r>
        <w:rPr>
          <w:sz w:val="20"/>
        </w:rPr>
        <w:t>They are:</w:t>
      </w:r>
    </w:p>
    <w:p>
      <w:pPr>
        <w:pStyle w:val="ListParagraph"/>
        <w:numPr>
          <w:ilvl w:val="0"/>
          <w:numId w:val="3"/>
        </w:numPr>
        <w:tabs>
          <w:tab w:pos="605" w:val="left" w:leader="none"/>
          <w:tab w:pos="606" w:val="left" w:leader="none"/>
        </w:tabs>
        <w:spacing w:line="240" w:lineRule="auto" w:before="154" w:after="0"/>
        <w:ind w:left="605" w:right="0" w:hanging="361"/>
        <w:jc w:val="left"/>
        <w:rPr>
          <w:sz w:val="20"/>
        </w:rPr>
      </w:pPr>
      <w:r>
        <w:rPr>
          <w:sz w:val="20"/>
        </w:rPr>
        <w:t>to give written advice to a designated person on ethics or integrity</w:t>
      </w:r>
      <w:r>
        <w:rPr>
          <w:spacing w:val="-9"/>
          <w:sz w:val="20"/>
        </w:rPr>
        <w:t> </w:t>
      </w:r>
      <w:r>
        <w:rPr>
          <w:sz w:val="20"/>
        </w:rPr>
        <w:t>issues</w:t>
      </w:r>
    </w:p>
    <w:p>
      <w:pPr>
        <w:pStyle w:val="ListParagraph"/>
        <w:numPr>
          <w:ilvl w:val="0"/>
          <w:numId w:val="3"/>
        </w:numPr>
        <w:tabs>
          <w:tab w:pos="605" w:val="left" w:leader="none"/>
          <w:tab w:pos="606" w:val="left" w:leader="none"/>
        </w:tabs>
        <w:spacing w:line="240" w:lineRule="auto" w:before="153" w:after="0"/>
        <w:ind w:left="605" w:right="0" w:hanging="361"/>
        <w:jc w:val="left"/>
        <w:rPr>
          <w:sz w:val="20"/>
        </w:rPr>
      </w:pPr>
      <w:r>
        <w:rPr>
          <w:sz w:val="20"/>
        </w:rPr>
        <w:t>to meet with, and give written or oral advice to, members of the Legislative</w:t>
      </w:r>
      <w:r>
        <w:rPr>
          <w:spacing w:val="-29"/>
          <w:sz w:val="20"/>
        </w:rPr>
        <w:t> </w:t>
      </w:r>
      <w:r>
        <w:rPr>
          <w:sz w:val="20"/>
        </w:rPr>
        <w:t>Assembly</w:t>
      </w:r>
    </w:p>
    <w:p>
      <w:pPr>
        <w:pStyle w:val="ListParagraph"/>
        <w:numPr>
          <w:ilvl w:val="0"/>
          <w:numId w:val="3"/>
        </w:numPr>
        <w:tabs>
          <w:tab w:pos="605" w:val="left" w:leader="none"/>
          <w:tab w:pos="606" w:val="left" w:leader="none"/>
        </w:tabs>
        <w:spacing w:line="240" w:lineRule="auto" w:before="154" w:after="0"/>
        <w:ind w:left="605" w:right="0" w:hanging="361"/>
        <w:jc w:val="left"/>
        <w:rPr>
          <w:sz w:val="20"/>
        </w:rPr>
      </w:pPr>
      <w:r>
        <w:rPr>
          <w:sz w:val="20"/>
        </w:rPr>
        <w:t>to keep the lobbyists register and have responsibility for the registration of</w:t>
      </w:r>
      <w:r>
        <w:rPr>
          <w:spacing w:val="-32"/>
          <w:sz w:val="20"/>
        </w:rPr>
        <w:t> </w:t>
      </w:r>
      <w:r>
        <w:rPr>
          <w:sz w:val="20"/>
        </w:rPr>
        <w:t>lobbyists</w:t>
      </w:r>
    </w:p>
    <w:p>
      <w:pPr>
        <w:pStyle w:val="ListParagraph"/>
        <w:numPr>
          <w:ilvl w:val="0"/>
          <w:numId w:val="3"/>
        </w:numPr>
        <w:tabs>
          <w:tab w:pos="606" w:val="left" w:leader="none"/>
        </w:tabs>
        <w:spacing w:line="273" w:lineRule="auto" w:before="151" w:after="0"/>
        <w:ind w:left="605" w:right="44" w:hanging="360"/>
        <w:jc w:val="both"/>
        <w:rPr>
          <w:sz w:val="20"/>
        </w:rPr>
      </w:pPr>
      <w:r>
        <w:rPr>
          <w:sz w:val="20"/>
        </w:rPr>
        <w:t>to raise public awareness of ethics or integrity issues by contributing to public discussion of these issues relevant to the Integrity Commissioner’s</w:t>
      </w:r>
      <w:r>
        <w:rPr>
          <w:spacing w:val="-15"/>
          <w:sz w:val="20"/>
        </w:rPr>
        <w:t> </w:t>
      </w:r>
      <w:r>
        <w:rPr>
          <w:sz w:val="20"/>
        </w:rPr>
        <w:t>functions.</w:t>
      </w:r>
    </w:p>
    <w:p>
      <w:pPr>
        <w:pStyle w:val="BodyText"/>
      </w:pPr>
    </w:p>
    <w:p>
      <w:pPr>
        <w:pStyle w:val="BodyText"/>
        <w:spacing w:before="3"/>
        <w:rPr>
          <w:sz w:val="23"/>
        </w:rPr>
      </w:pPr>
    </w:p>
    <w:p>
      <w:pPr>
        <w:pStyle w:val="Heading5"/>
      </w:pPr>
      <w:r>
        <w:rPr>
          <w:w w:val="115"/>
        </w:rPr>
        <w:t>Expansion of the integrity commissioner’s jurisdiction</w:t>
      </w:r>
    </w:p>
    <w:p>
      <w:pPr>
        <w:pStyle w:val="BodyText"/>
        <w:spacing w:line="276" w:lineRule="auto" w:before="159"/>
        <w:ind w:left="245" w:right="43"/>
        <w:jc w:val="both"/>
      </w:pPr>
      <w:r>
        <w:rPr/>
        <w:t>Further expansions to the Integrity Commissioner's jurisdiction occurred in 2018 and 2019.</w:t>
      </w:r>
    </w:p>
    <w:p>
      <w:pPr>
        <w:spacing w:line="276" w:lineRule="auto" w:before="120"/>
        <w:ind w:left="245" w:right="40" w:firstLine="0"/>
        <w:jc w:val="both"/>
        <w:rPr>
          <w:sz w:val="20"/>
        </w:rPr>
      </w:pPr>
      <w:r>
        <w:rPr>
          <w:sz w:val="20"/>
        </w:rPr>
        <w:t>In 2018, the expansion came about when amendments to the </w:t>
      </w:r>
      <w:r>
        <w:rPr>
          <w:i/>
          <w:sz w:val="20"/>
        </w:rPr>
        <w:t>Integrity Act 2009</w:t>
      </w:r>
      <w:r>
        <w:rPr>
          <w:sz w:val="20"/>
        </w:rPr>
        <w:t>, as a result of part 4 of the </w:t>
      </w:r>
      <w:r>
        <w:rPr>
          <w:i/>
          <w:sz w:val="20"/>
        </w:rPr>
        <w:t>Guardianship and Administration and Other Legislation Amendment </w:t>
      </w:r>
      <w:r>
        <w:rPr>
          <w:i/>
          <w:sz w:val="20"/>
        </w:rPr>
        <w:t>Bill 2018</w:t>
      </w:r>
      <w:r>
        <w:rPr>
          <w:sz w:val="20"/>
        </w:rPr>
        <w:t>:</w:t>
      </w:r>
    </w:p>
    <w:p>
      <w:pPr>
        <w:pStyle w:val="ListParagraph"/>
        <w:numPr>
          <w:ilvl w:val="0"/>
          <w:numId w:val="3"/>
        </w:numPr>
        <w:tabs>
          <w:tab w:pos="606" w:val="left" w:leader="none"/>
        </w:tabs>
        <w:spacing w:line="276" w:lineRule="auto" w:before="117" w:after="0"/>
        <w:ind w:left="605" w:right="43" w:hanging="360"/>
        <w:jc w:val="both"/>
        <w:rPr>
          <w:sz w:val="20"/>
        </w:rPr>
      </w:pPr>
      <w:r>
        <w:rPr>
          <w:sz w:val="20"/>
        </w:rPr>
        <w:t>removed the requirement for senior executives, senior officers or senior officer equivalents to obtain authority from their relevant chief executive officer prior to seeking the advice of the Integrity Commissioner,</w:t>
      </w:r>
      <w:r>
        <w:rPr>
          <w:spacing w:val="-8"/>
          <w:sz w:val="20"/>
        </w:rPr>
        <w:t> </w:t>
      </w:r>
      <w:r>
        <w:rPr>
          <w:sz w:val="20"/>
        </w:rPr>
        <w:t>and</w:t>
      </w:r>
    </w:p>
    <w:p>
      <w:pPr>
        <w:pStyle w:val="ListParagraph"/>
        <w:numPr>
          <w:ilvl w:val="0"/>
          <w:numId w:val="3"/>
        </w:numPr>
        <w:tabs>
          <w:tab w:pos="606" w:val="left" w:leader="none"/>
        </w:tabs>
        <w:spacing w:line="276" w:lineRule="auto" w:before="117" w:after="0"/>
        <w:ind w:left="605" w:right="42" w:hanging="360"/>
        <w:jc w:val="both"/>
        <w:rPr>
          <w:sz w:val="20"/>
        </w:rPr>
      </w:pPr>
      <w:r>
        <w:rPr>
          <w:sz w:val="20"/>
        </w:rPr>
        <w:t>expanded the scope of the Integrity Commissioner’s advisory services to allow former designated persons to seek advice on post-employment obligations for up to 2 years from the cessation of their</w:t>
      </w:r>
      <w:r>
        <w:rPr>
          <w:spacing w:val="-4"/>
          <w:sz w:val="20"/>
        </w:rPr>
        <w:t> </w:t>
      </w:r>
      <w:r>
        <w:rPr>
          <w:sz w:val="20"/>
        </w:rPr>
        <w:t>employment.</w:t>
      </w:r>
    </w:p>
    <w:p>
      <w:pPr>
        <w:pStyle w:val="Heading5"/>
        <w:spacing w:before="56"/>
        <w:jc w:val="both"/>
      </w:pPr>
      <w:r>
        <w:rPr>
          <w:b w:val="0"/>
        </w:rPr>
        <w:br w:type="column"/>
      </w:r>
      <w:r>
        <w:rPr>
          <w:w w:val="110"/>
        </w:rPr>
        <w:t>Ministerial interests</w:t>
      </w:r>
    </w:p>
    <w:p>
      <w:pPr>
        <w:pStyle w:val="BodyText"/>
        <w:spacing w:line="276" w:lineRule="auto" w:before="156"/>
        <w:ind w:left="245" w:right="214"/>
        <w:jc w:val="both"/>
      </w:pPr>
      <w:r>
        <w:rPr/>
        <w:t>In 2019, following a revision of the way that Ministerial interests issues are dealt with under the Ministerial Code of Conduct, the Integrity Commissioner role was more closely linked to obligations imposed on Ministers.</w:t>
      </w:r>
    </w:p>
    <w:p>
      <w:pPr>
        <w:pStyle w:val="BodyText"/>
        <w:spacing w:before="121"/>
        <w:ind w:left="245"/>
        <w:jc w:val="both"/>
      </w:pPr>
      <w:r>
        <w:rPr/>
        <w:t>This report discusses this change in more detail in a later section.</w:t>
      </w:r>
    </w:p>
    <w:p>
      <w:pPr>
        <w:pStyle w:val="BodyText"/>
      </w:pPr>
    </w:p>
    <w:p>
      <w:pPr>
        <w:pStyle w:val="BodyText"/>
        <w:spacing w:before="3"/>
        <w:rPr>
          <w:sz w:val="28"/>
        </w:rPr>
      </w:pPr>
    </w:p>
    <w:p>
      <w:pPr>
        <w:pStyle w:val="Heading5"/>
        <w:jc w:val="both"/>
      </w:pPr>
      <w:r>
        <w:rPr>
          <w:w w:val="110"/>
        </w:rPr>
        <w:t>Overview of Reporting Year</w:t>
      </w:r>
    </w:p>
    <w:p>
      <w:pPr>
        <w:pStyle w:val="BodyText"/>
        <w:spacing w:line="276" w:lineRule="auto" w:before="156"/>
        <w:ind w:left="245" w:right="214"/>
        <w:jc w:val="both"/>
      </w:pPr>
      <w:r>
        <w:rPr/>
        <w:t>This report covers the 20th year of operation of the office of the Integrity Commissioner, and the third year of Dr Stepanov’s tenure.</w:t>
      </w:r>
    </w:p>
    <w:p>
      <w:pPr>
        <w:pStyle w:val="BodyText"/>
        <w:spacing w:line="276" w:lineRule="auto" w:before="120"/>
        <w:ind w:left="245" w:right="218"/>
        <w:jc w:val="both"/>
      </w:pPr>
      <w:r>
        <w:rPr/>
        <w:t>Overall, the year under review saw a sustained level of demand for the services provided by the commission, with particular growth in the lobbying advices area.</w:t>
      </w:r>
    </w:p>
    <w:p>
      <w:pPr>
        <w:pStyle w:val="BodyText"/>
        <w:spacing w:line="276" w:lineRule="auto" w:before="120"/>
        <w:ind w:left="245" w:right="209"/>
        <w:jc w:val="both"/>
      </w:pPr>
      <w:r>
        <w:rPr/>
        <w:t>The commission uses real time tracking of data to anticipate workflow, and to track and monitor trends. However, predictability in terms of anticipating the number of advice requests received from month to month remains an issue.</w:t>
      </w:r>
    </w:p>
    <w:p>
      <w:pPr>
        <w:pStyle w:val="BodyText"/>
        <w:spacing w:line="276" w:lineRule="auto" w:before="121"/>
        <w:ind w:left="245" w:right="210"/>
        <w:jc w:val="both"/>
      </w:pPr>
      <w:r>
        <w:rPr/>
        <w:t>This was particularly relevant during this financial year as the pandemic occurred towards the end of the third quarter, and continued through the fourth quarter.</w:t>
      </w:r>
    </w:p>
    <w:p>
      <w:pPr>
        <w:pStyle w:val="BodyText"/>
        <w:spacing w:line="276" w:lineRule="auto" w:before="120"/>
        <w:ind w:left="245" w:right="213"/>
        <w:jc w:val="both"/>
      </w:pPr>
      <w:r>
        <w:rPr/>
        <w:t>In similarly to many other offices in Queensland and elsewhere, the pandemic brought about a fundamental change to the way that business is conducted. As well, the types of issues that designated persons were seeking advice about, changed as day to day</w:t>
      </w:r>
      <w:r>
        <w:rPr>
          <w:spacing w:val="14"/>
        </w:rPr>
        <w:t> </w:t>
      </w:r>
      <w:r>
        <w:rPr/>
        <w:t>decision</w:t>
      </w:r>
    </w:p>
    <w:p>
      <w:pPr>
        <w:pStyle w:val="BodyText"/>
        <w:ind w:left="245"/>
      </w:pPr>
      <w:r>
        <w:rPr/>
        <w:t>-making </w:t>
      </w:r>
      <w:r>
        <w:rPr>
          <w:spacing w:val="12"/>
        </w:rPr>
        <w:t> </w:t>
      </w:r>
      <w:r>
        <w:rPr/>
        <w:t>adjusted </w:t>
      </w:r>
      <w:r>
        <w:rPr>
          <w:spacing w:val="13"/>
        </w:rPr>
        <w:t> </w:t>
      </w:r>
      <w:r>
        <w:rPr/>
        <w:t>to </w:t>
      </w:r>
      <w:r>
        <w:rPr>
          <w:spacing w:val="13"/>
        </w:rPr>
        <w:t> </w:t>
      </w:r>
      <w:r>
        <w:rPr/>
        <w:t>take </w:t>
      </w:r>
      <w:r>
        <w:rPr>
          <w:spacing w:val="12"/>
        </w:rPr>
        <w:t> </w:t>
      </w:r>
      <w:r>
        <w:rPr/>
        <w:t>into </w:t>
      </w:r>
      <w:r>
        <w:rPr>
          <w:spacing w:val="13"/>
        </w:rPr>
        <w:t> </w:t>
      </w:r>
      <w:r>
        <w:rPr/>
        <w:t>account </w:t>
      </w:r>
      <w:r>
        <w:rPr>
          <w:spacing w:val="13"/>
        </w:rPr>
        <w:t> </w:t>
      </w:r>
      <w:r>
        <w:rPr/>
        <w:t>broadened </w:t>
      </w:r>
      <w:r>
        <w:rPr>
          <w:spacing w:val="12"/>
        </w:rPr>
        <w:t> </w:t>
      </w:r>
      <w:r>
        <w:rPr/>
        <w:t>roles </w:t>
      </w:r>
      <w:r>
        <w:rPr>
          <w:spacing w:val="11"/>
        </w:rPr>
        <w:t> </w:t>
      </w:r>
      <w:r>
        <w:rPr/>
        <w:t>and </w:t>
      </w:r>
      <w:r>
        <w:rPr>
          <w:spacing w:val="13"/>
        </w:rPr>
        <w:t> </w:t>
      </w:r>
      <w:r>
        <w:rPr/>
        <w:t>a </w:t>
      </w:r>
      <w:r>
        <w:rPr>
          <w:spacing w:val="11"/>
        </w:rPr>
        <w:t> </w:t>
      </w:r>
      <w:r>
        <w:rPr/>
        <w:t>heightened </w:t>
      </w:r>
      <w:r>
        <w:rPr>
          <w:spacing w:val="13"/>
        </w:rPr>
        <w:t> </w:t>
      </w:r>
      <w:r>
        <w:rPr/>
        <w:t>sense </w:t>
      </w:r>
      <w:r>
        <w:rPr>
          <w:spacing w:val="12"/>
        </w:rPr>
        <w:t> </w:t>
      </w:r>
      <w:r>
        <w:rPr/>
        <w:t>of</w:t>
      </w:r>
    </w:p>
    <w:p>
      <w:pPr>
        <w:pStyle w:val="BodyText"/>
        <w:spacing w:before="37"/>
        <w:ind w:left="245"/>
      </w:pPr>
      <w:r>
        <w:rPr/>
        <w:t>urgency.</w:t>
      </w:r>
    </w:p>
    <w:p>
      <w:pPr>
        <w:pStyle w:val="BodyText"/>
        <w:spacing w:line="276" w:lineRule="auto" w:before="157"/>
        <w:ind w:left="245" w:right="205"/>
        <w:jc w:val="both"/>
      </w:pPr>
      <w:r>
        <w:rPr/>
        <w:t>However, the commission has adapted well to the change to ‘business as usual’, and in particular, has developed new ways to continue to enhance public awareness of the work of the Integrity Commissioner, and ethics and integrity standards more generally.</w:t>
      </w:r>
    </w:p>
    <w:p>
      <w:pPr>
        <w:pStyle w:val="BodyText"/>
        <w:spacing w:line="276" w:lineRule="auto" w:before="120"/>
        <w:ind w:left="245" w:right="211"/>
        <w:jc w:val="both"/>
      </w:pPr>
      <w:r>
        <w:rPr/>
        <w:t>In the interest of supporting the efforts toward protecting and promoting the wellbeing of the public, in addition to undertaking their usual functions and work, the Integrity Commissioner and staff were also involved in the Whole of Government response to COVID-19 in various ways.</w:t>
      </w:r>
    </w:p>
    <w:p>
      <w:pPr>
        <w:spacing w:after="0" w:line="276" w:lineRule="auto"/>
        <w:jc w:val="both"/>
        <w:sectPr>
          <w:type w:val="continuous"/>
          <w:pgSz w:w="16840" w:h="11910" w:orient="landscape"/>
          <w:pgMar w:top="1100" w:bottom="280" w:left="580" w:right="620"/>
          <w:cols w:num="2" w:equalWidth="0">
            <w:col w:w="7642" w:space="188"/>
            <w:col w:w="7810"/>
          </w:cols>
        </w:sectPr>
      </w:pPr>
    </w:p>
    <w:p>
      <w:pPr>
        <w:spacing w:before="36"/>
        <w:ind w:left="281" w:right="0" w:firstLine="0"/>
        <w:jc w:val="left"/>
        <w:rPr>
          <w:b/>
          <w:sz w:val="32"/>
        </w:rPr>
      </w:pPr>
      <w:r>
        <w:rPr>
          <w:b/>
          <w:color w:val="000080"/>
          <w:w w:val="105"/>
          <w:sz w:val="32"/>
        </w:rPr>
        <w:t>2019–2020 Dashboard</w:t>
      </w:r>
    </w:p>
    <w:p>
      <w:pPr>
        <w:spacing w:before="35"/>
        <w:ind w:left="281" w:right="0" w:firstLine="0"/>
        <w:jc w:val="left"/>
        <w:rPr>
          <w:b/>
          <w:sz w:val="22"/>
        </w:rPr>
      </w:pPr>
      <w:r>
        <w:rPr/>
        <w:br w:type="column"/>
      </w:r>
      <w:r>
        <w:rPr>
          <w:b/>
          <w:color w:val="2CB99D"/>
          <w:w w:val="110"/>
          <w:sz w:val="22"/>
        </w:rPr>
        <w:t>ethics, integrity, and interests Functions (Refer Page 8)</w:t>
      </w:r>
    </w:p>
    <w:p>
      <w:pPr>
        <w:spacing w:after="0"/>
        <w:jc w:val="left"/>
        <w:rPr>
          <w:sz w:val="22"/>
        </w:rPr>
        <w:sectPr>
          <w:pgSz w:w="16840" w:h="11910" w:orient="landscape"/>
          <w:pgMar w:header="0" w:footer="360" w:top="680" w:bottom="540" w:left="580" w:right="620"/>
          <w:cols w:num="2" w:equalWidth="0">
            <w:col w:w="3417" w:space="1871"/>
            <w:col w:w="10352"/>
          </w:cols>
        </w:sectPr>
      </w:pPr>
    </w:p>
    <w:p>
      <w:pPr>
        <w:pStyle w:val="BodyText"/>
        <w:rPr>
          <w:b/>
          <w:sz w:val="9"/>
        </w:rPr>
      </w:pPr>
    </w:p>
    <w:p>
      <w:pPr>
        <w:spacing w:after="0"/>
        <w:rPr>
          <w:sz w:val="9"/>
        </w:rPr>
        <w:sectPr>
          <w:type w:val="continuous"/>
          <w:pgSz w:w="16840" w:h="11910" w:orient="landscape"/>
          <w:pgMar w:top="1100" w:bottom="280" w:left="580" w:right="620"/>
        </w:sectPr>
      </w:pPr>
    </w:p>
    <w:p>
      <w:pPr>
        <w:pStyle w:val="Heading1"/>
        <w:spacing w:before="100"/>
        <w:ind w:left="2066" w:right="636"/>
        <w:jc w:val="center"/>
      </w:pPr>
      <w:r>
        <w:rPr/>
        <w:drawing>
          <wp:anchor distT="0" distB="0" distL="0" distR="0" allowOverlap="1" layoutInCell="1" locked="0" behindDoc="0" simplePos="0" relativeHeight="15735296">
            <wp:simplePos x="0" y="0"/>
            <wp:positionH relativeFrom="page">
              <wp:posOffset>582536</wp:posOffset>
            </wp:positionH>
            <wp:positionV relativeFrom="paragraph">
              <wp:posOffset>111009</wp:posOffset>
            </wp:positionV>
            <wp:extent cx="987474" cy="1094251"/>
            <wp:effectExtent l="0" t="0" r="0" b="0"/>
            <wp:wrapNone/>
            <wp:docPr id="13" name="image16.png" descr="Group of people"/>
            <wp:cNvGraphicFramePr>
              <a:graphicFrameLocks noChangeAspect="1"/>
            </wp:cNvGraphicFramePr>
            <a:graphic>
              <a:graphicData uri="http://schemas.openxmlformats.org/drawingml/2006/picture">
                <pic:pic>
                  <pic:nvPicPr>
                    <pic:cNvPr id="14" name="image16.png"/>
                    <pic:cNvPicPr/>
                  </pic:nvPicPr>
                  <pic:blipFill>
                    <a:blip r:embed="rId23" cstate="print"/>
                    <a:stretch>
                      <a:fillRect/>
                    </a:stretch>
                  </pic:blipFill>
                  <pic:spPr>
                    <a:xfrm>
                      <a:off x="0" y="0"/>
                      <a:ext cx="987474" cy="1094251"/>
                    </a:xfrm>
                    <a:prstGeom prst="rect">
                      <a:avLst/>
                    </a:prstGeom>
                  </pic:spPr>
                </pic:pic>
              </a:graphicData>
            </a:graphic>
          </wp:anchor>
        </w:drawing>
      </w:r>
      <w:r>
        <w:rPr>
          <w:color w:val="000080"/>
        </w:rPr>
        <w:t>5000+</w:t>
      </w:r>
    </w:p>
    <w:p>
      <w:pPr>
        <w:pStyle w:val="BodyText"/>
        <w:spacing w:before="220"/>
        <w:ind w:left="2086" w:right="38"/>
        <w:jc w:val="both"/>
      </w:pPr>
      <w:r>
        <w:rPr>
          <w:color w:val="000080"/>
        </w:rPr>
        <w:t>designated persons entitled to seek advice from the Integrity Commissioner:</w:t>
      </w:r>
    </w:p>
    <w:p>
      <w:pPr>
        <w:pStyle w:val="BodyText"/>
        <w:spacing w:before="146"/>
        <w:ind w:left="281"/>
      </w:pPr>
      <w:r>
        <w:rPr>
          <w:color w:val="000080"/>
        </w:rPr>
        <w:t>Members of the Legislative Assembly, including:</w:t>
      </w:r>
    </w:p>
    <w:p>
      <w:pPr>
        <w:pStyle w:val="BodyText"/>
        <w:spacing w:before="143"/>
        <w:ind w:left="1001"/>
      </w:pPr>
      <w:r>
        <w:rPr>
          <w:rFonts w:ascii="Wingdings 3" w:hAnsi="Wingdings 3"/>
          <w:color w:val="000080"/>
        </w:rPr>
        <w:t></w:t>
      </w:r>
      <w:r>
        <w:rPr>
          <w:rFonts w:ascii="Times New Roman" w:hAnsi="Times New Roman"/>
          <w:color w:val="000080"/>
        </w:rPr>
        <w:t> </w:t>
      </w:r>
      <w:r>
        <w:rPr>
          <w:color w:val="000080"/>
        </w:rPr>
        <w:t>The Premier</w:t>
      </w:r>
    </w:p>
    <w:p>
      <w:pPr>
        <w:spacing w:before="48"/>
        <w:ind w:left="330" w:right="0" w:firstLine="0"/>
        <w:jc w:val="left"/>
        <w:rPr>
          <w:rFonts w:ascii="Gill Sans MT"/>
          <w:sz w:val="72"/>
        </w:rPr>
      </w:pPr>
      <w:r>
        <w:rPr/>
        <w:br w:type="column"/>
      </w:r>
      <w:r>
        <w:rPr>
          <w:position w:val="-31"/>
        </w:rPr>
        <w:drawing>
          <wp:inline distT="0" distB="0" distL="0" distR="0">
            <wp:extent cx="614476" cy="673393"/>
            <wp:effectExtent l="0" t="0" r="0" b="0"/>
            <wp:docPr id="15" name="image17.png" descr="Open envelope"/>
            <wp:cNvGraphicFramePr>
              <a:graphicFrameLocks noChangeAspect="1"/>
            </wp:cNvGraphicFramePr>
            <a:graphic>
              <a:graphicData uri="http://schemas.openxmlformats.org/drawingml/2006/picture">
                <pic:pic>
                  <pic:nvPicPr>
                    <pic:cNvPr id="16" name="image17.png"/>
                    <pic:cNvPicPr/>
                  </pic:nvPicPr>
                  <pic:blipFill>
                    <a:blip r:embed="rId24" cstate="print"/>
                    <a:stretch>
                      <a:fillRect/>
                    </a:stretch>
                  </pic:blipFill>
                  <pic:spPr>
                    <a:xfrm>
                      <a:off x="0" y="0"/>
                      <a:ext cx="614476" cy="673393"/>
                    </a:xfrm>
                    <a:prstGeom prst="rect">
                      <a:avLst/>
                    </a:prstGeom>
                  </pic:spPr>
                </pic:pic>
              </a:graphicData>
            </a:graphic>
          </wp:inline>
        </w:drawing>
      </w:r>
      <w:r>
        <w:rPr>
          <w:position w:val="-31"/>
        </w:rPr>
      </w:r>
      <w:r>
        <w:rPr>
          <w:rFonts w:ascii="Times New Roman"/>
          <w:sz w:val="20"/>
        </w:rPr>
        <w:t>  </w:t>
      </w:r>
      <w:r>
        <w:rPr>
          <w:rFonts w:ascii="Times New Roman"/>
          <w:spacing w:val="-15"/>
          <w:sz w:val="20"/>
        </w:rPr>
        <w:t> </w:t>
      </w:r>
      <w:r>
        <w:rPr>
          <w:rFonts w:ascii="Gill Sans MT"/>
          <w:color w:val="2CB99D"/>
          <w:spacing w:val="-7"/>
          <w:sz w:val="72"/>
        </w:rPr>
        <w:t>307</w:t>
      </w:r>
    </w:p>
    <w:p>
      <w:pPr>
        <w:pStyle w:val="BodyText"/>
        <w:spacing w:before="164"/>
        <w:ind w:left="281"/>
      </w:pPr>
      <w:r>
        <w:rPr>
          <w:color w:val="2CB99D"/>
        </w:rPr>
        <w:t>Formal requests for</w:t>
      </w:r>
    </w:p>
    <w:p>
      <w:pPr>
        <w:pStyle w:val="BodyText"/>
        <w:spacing w:before="1"/>
        <w:ind w:left="281" w:right="381"/>
      </w:pPr>
      <w:r>
        <w:rPr>
          <w:color w:val="2CB99D"/>
        </w:rPr>
        <w:t>ethics and integrity, or interest issues advice</w:t>
      </w:r>
    </w:p>
    <w:p>
      <w:pPr>
        <w:pStyle w:val="BodyText"/>
        <w:spacing w:line="244" w:lineRule="exact"/>
        <w:ind w:left="281"/>
      </w:pPr>
      <w:r>
        <w:rPr>
          <w:color w:val="2CB99D"/>
        </w:rPr>
        <w:t>from designated persons</w:t>
      </w:r>
    </w:p>
    <w:p>
      <w:pPr>
        <w:spacing w:before="110"/>
        <w:ind w:left="287" w:right="0" w:firstLine="0"/>
        <w:jc w:val="left"/>
        <w:rPr>
          <w:rFonts w:ascii="Gill Sans MT"/>
          <w:sz w:val="72"/>
        </w:rPr>
      </w:pPr>
      <w:r>
        <w:rPr/>
        <w:br w:type="column"/>
      </w:r>
      <w:r>
        <w:rPr>
          <w:position w:val="-31"/>
        </w:rPr>
        <w:drawing>
          <wp:inline distT="0" distB="0" distL="0" distR="0">
            <wp:extent cx="478316" cy="614476"/>
            <wp:effectExtent l="0" t="0" r="0" b="0"/>
            <wp:docPr id="17" name="image18.png" descr="Document"/>
            <wp:cNvGraphicFramePr>
              <a:graphicFrameLocks noChangeAspect="1"/>
            </wp:cNvGraphicFramePr>
            <a:graphic>
              <a:graphicData uri="http://schemas.openxmlformats.org/drawingml/2006/picture">
                <pic:pic>
                  <pic:nvPicPr>
                    <pic:cNvPr id="18" name="image18.png"/>
                    <pic:cNvPicPr/>
                  </pic:nvPicPr>
                  <pic:blipFill>
                    <a:blip r:embed="rId25" cstate="print"/>
                    <a:stretch>
                      <a:fillRect/>
                    </a:stretch>
                  </pic:blipFill>
                  <pic:spPr>
                    <a:xfrm>
                      <a:off x="0" y="0"/>
                      <a:ext cx="478316" cy="614476"/>
                    </a:xfrm>
                    <a:prstGeom prst="rect">
                      <a:avLst/>
                    </a:prstGeom>
                  </pic:spPr>
                </pic:pic>
              </a:graphicData>
            </a:graphic>
          </wp:inline>
        </w:drawing>
      </w:r>
      <w:r>
        <w:rPr>
          <w:position w:val="-31"/>
        </w:rPr>
      </w:r>
      <w:r>
        <w:rPr>
          <w:rFonts w:ascii="Times New Roman"/>
          <w:sz w:val="20"/>
        </w:rPr>
        <w:t>    </w:t>
      </w:r>
      <w:r>
        <w:rPr>
          <w:rFonts w:ascii="Times New Roman"/>
          <w:spacing w:val="5"/>
          <w:sz w:val="20"/>
        </w:rPr>
        <w:t> </w:t>
      </w:r>
      <w:r>
        <w:rPr>
          <w:rFonts w:ascii="Gill Sans MT"/>
          <w:color w:val="2CB99D"/>
          <w:spacing w:val="-7"/>
          <w:sz w:val="72"/>
        </w:rPr>
        <w:t>196</w:t>
      </w:r>
    </w:p>
    <w:p>
      <w:pPr>
        <w:pStyle w:val="BodyText"/>
        <w:spacing w:before="177"/>
        <w:ind w:left="156"/>
      </w:pPr>
      <w:r>
        <w:rPr>
          <w:color w:val="2CB99D"/>
        </w:rPr>
        <w:t>Formal written advices issued</w:t>
      </w:r>
    </w:p>
    <w:p>
      <w:pPr>
        <w:spacing w:before="110"/>
        <w:ind w:left="400" w:right="0" w:firstLine="0"/>
        <w:jc w:val="left"/>
        <w:rPr>
          <w:rFonts w:ascii="Gill Sans MT"/>
          <w:sz w:val="72"/>
        </w:rPr>
      </w:pPr>
      <w:r>
        <w:rPr/>
        <w:br w:type="column"/>
      </w:r>
      <w:r>
        <w:rPr>
          <w:position w:val="-32"/>
        </w:rPr>
        <w:drawing>
          <wp:inline distT="0" distB="0" distL="0" distR="0">
            <wp:extent cx="521817" cy="594969"/>
            <wp:effectExtent l="0" t="0" r="0" b="0"/>
            <wp:docPr id="19" name="image19.png"/>
            <wp:cNvGraphicFramePr>
              <a:graphicFrameLocks noChangeAspect="1"/>
            </wp:cNvGraphicFramePr>
            <a:graphic>
              <a:graphicData uri="http://schemas.openxmlformats.org/drawingml/2006/picture">
                <pic:pic>
                  <pic:nvPicPr>
                    <pic:cNvPr id="20" name="image19.png"/>
                    <pic:cNvPicPr/>
                  </pic:nvPicPr>
                  <pic:blipFill>
                    <a:blip r:embed="rId26" cstate="print"/>
                    <a:stretch>
                      <a:fillRect/>
                    </a:stretch>
                  </pic:blipFill>
                  <pic:spPr>
                    <a:xfrm>
                      <a:off x="0" y="0"/>
                      <a:ext cx="521817" cy="594969"/>
                    </a:xfrm>
                    <a:prstGeom prst="rect">
                      <a:avLst/>
                    </a:prstGeom>
                  </pic:spPr>
                </pic:pic>
              </a:graphicData>
            </a:graphic>
          </wp:inline>
        </w:drawing>
      </w:r>
      <w:r>
        <w:rPr>
          <w:position w:val="-32"/>
        </w:rPr>
      </w:r>
      <w:r>
        <w:rPr>
          <w:rFonts w:ascii="Times New Roman"/>
          <w:sz w:val="20"/>
        </w:rPr>
        <w:t>  </w:t>
      </w:r>
      <w:r>
        <w:rPr>
          <w:rFonts w:ascii="Times New Roman"/>
          <w:spacing w:val="20"/>
          <w:sz w:val="20"/>
        </w:rPr>
        <w:t> </w:t>
      </w:r>
      <w:r>
        <w:rPr>
          <w:rFonts w:ascii="Gill Sans MT"/>
          <w:color w:val="2CB99D"/>
          <w:spacing w:val="-7"/>
          <w:sz w:val="72"/>
        </w:rPr>
        <w:t>25%</w:t>
      </w:r>
    </w:p>
    <w:p>
      <w:pPr>
        <w:pStyle w:val="BodyText"/>
        <w:spacing w:before="159"/>
        <w:ind w:left="281"/>
      </w:pPr>
      <w:r>
        <w:rPr>
          <w:color w:val="2CB99D"/>
        </w:rPr>
        <w:t>Formal written advices issued within one</w:t>
      </w:r>
    </w:p>
    <w:p>
      <w:pPr>
        <w:pStyle w:val="BodyText"/>
        <w:spacing w:line="243" w:lineRule="exact"/>
        <w:ind w:left="281"/>
      </w:pPr>
      <w:r>
        <w:rPr>
          <w:color w:val="2CB99D"/>
        </w:rPr>
        <w:t>business day of request</w:t>
      </w:r>
    </w:p>
    <w:p>
      <w:pPr>
        <w:spacing w:before="110"/>
        <w:ind w:left="496" w:right="0" w:firstLine="0"/>
        <w:jc w:val="left"/>
        <w:rPr>
          <w:rFonts w:ascii="Gill Sans MT"/>
          <w:sz w:val="72"/>
        </w:rPr>
      </w:pPr>
      <w:r>
        <w:rPr/>
        <w:br w:type="column"/>
      </w:r>
      <w:r>
        <w:rPr>
          <w:position w:val="-10"/>
        </w:rPr>
        <w:drawing>
          <wp:inline distT="0" distB="0" distL="0" distR="0">
            <wp:extent cx="585216" cy="399897"/>
            <wp:effectExtent l="0" t="0" r="0" b="0"/>
            <wp:docPr id="21" name="image20.png"/>
            <wp:cNvGraphicFramePr>
              <a:graphicFrameLocks noChangeAspect="1"/>
            </wp:cNvGraphicFramePr>
            <a:graphic>
              <a:graphicData uri="http://schemas.openxmlformats.org/drawingml/2006/picture">
                <pic:pic>
                  <pic:nvPicPr>
                    <pic:cNvPr id="22" name="image20.png"/>
                    <pic:cNvPicPr/>
                  </pic:nvPicPr>
                  <pic:blipFill>
                    <a:blip r:embed="rId27" cstate="print"/>
                    <a:stretch>
                      <a:fillRect/>
                    </a:stretch>
                  </pic:blipFill>
                  <pic:spPr>
                    <a:xfrm>
                      <a:off x="0" y="0"/>
                      <a:ext cx="585216" cy="399897"/>
                    </a:xfrm>
                    <a:prstGeom prst="rect">
                      <a:avLst/>
                    </a:prstGeom>
                  </pic:spPr>
                </pic:pic>
              </a:graphicData>
            </a:graphic>
          </wp:inline>
        </w:drawing>
      </w:r>
      <w:r>
        <w:rPr>
          <w:position w:val="-10"/>
        </w:rPr>
      </w:r>
      <w:r>
        <w:rPr>
          <w:rFonts w:ascii="Times New Roman"/>
          <w:sz w:val="20"/>
        </w:rPr>
        <w:t>  </w:t>
      </w:r>
      <w:r>
        <w:rPr>
          <w:rFonts w:ascii="Times New Roman"/>
          <w:spacing w:val="23"/>
          <w:sz w:val="20"/>
        </w:rPr>
        <w:t> </w:t>
      </w:r>
      <w:r>
        <w:rPr>
          <w:rFonts w:ascii="Gill Sans MT"/>
          <w:color w:val="2CB99D"/>
          <w:sz w:val="72"/>
        </w:rPr>
        <w:t>29</w:t>
      </w:r>
    </w:p>
    <w:p>
      <w:pPr>
        <w:pStyle w:val="BodyText"/>
        <w:spacing w:before="318"/>
        <w:ind w:left="275" w:right="373"/>
      </w:pPr>
      <w:r>
        <w:rPr>
          <w:color w:val="2CB99D"/>
        </w:rPr>
        <w:t>Meetings with Members</w:t>
      </w:r>
      <w:r>
        <w:rPr>
          <w:color w:val="2CB99D"/>
          <w:spacing w:val="-14"/>
        </w:rPr>
        <w:t> </w:t>
      </w:r>
      <w:r>
        <w:rPr>
          <w:color w:val="2CB99D"/>
        </w:rPr>
        <w:t>of the Legislative</w:t>
      </w:r>
      <w:r>
        <w:rPr>
          <w:color w:val="2CB99D"/>
          <w:spacing w:val="-5"/>
        </w:rPr>
        <w:t> </w:t>
      </w:r>
      <w:r>
        <w:rPr>
          <w:color w:val="2CB99D"/>
        </w:rPr>
        <w:t>Assembly</w:t>
      </w:r>
    </w:p>
    <w:p>
      <w:pPr>
        <w:pStyle w:val="BodyText"/>
        <w:spacing w:line="243" w:lineRule="exact"/>
        <w:ind w:left="275"/>
      </w:pPr>
      <w:r>
        <w:rPr>
          <w:color w:val="2CB99D"/>
        </w:rPr>
        <w:t>under chapter 3 part 3 of the</w:t>
      </w:r>
    </w:p>
    <w:p>
      <w:pPr>
        <w:spacing w:before="0"/>
        <w:ind w:left="275" w:right="0" w:firstLine="0"/>
        <w:jc w:val="left"/>
        <w:rPr>
          <w:i/>
          <w:sz w:val="20"/>
        </w:rPr>
      </w:pPr>
      <w:r>
        <w:rPr>
          <w:i/>
          <w:color w:val="2CB99D"/>
          <w:sz w:val="20"/>
        </w:rPr>
        <w:t>Integrity Act 2009</w:t>
      </w:r>
    </w:p>
    <w:p>
      <w:pPr>
        <w:spacing w:after="0"/>
        <w:jc w:val="left"/>
        <w:rPr>
          <w:sz w:val="20"/>
        </w:rPr>
        <w:sectPr>
          <w:type w:val="continuous"/>
          <w:pgSz w:w="16840" w:h="11910" w:orient="landscape"/>
          <w:pgMar w:top="1100" w:bottom="280" w:left="580" w:right="620"/>
          <w:cols w:num="5" w:equalWidth="0">
            <w:col w:w="4604" w:space="564"/>
            <w:col w:w="2514" w:space="40"/>
            <w:col w:w="2378" w:space="39"/>
            <w:col w:w="2600" w:space="40"/>
            <w:col w:w="2861"/>
          </w:cols>
        </w:sectPr>
      </w:pPr>
    </w:p>
    <w:p>
      <w:pPr>
        <w:pStyle w:val="BodyText"/>
        <w:spacing w:before="144"/>
        <w:ind w:left="1001"/>
      </w:pPr>
      <w:r>
        <w:rPr>
          <w:rFonts w:ascii="Wingdings 3" w:hAnsi="Wingdings 3"/>
          <w:color w:val="000080"/>
        </w:rPr>
        <w:t></w:t>
      </w:r>
      <w:r>
        <w:rPr>
          <w:rFonts w:ascii="Times New Roman" w:hAnsi="Times New Roman"/>
          <w:color w:val="000080"/>
        </w:rPr>
        <w:t> </w:t>
      </w:r>
      <w:r>
        <w:rPr>
          <w:color w:val="000080"/>
        </w:rPr>
        <w:t>The Deputy Premier</w:t>
      </w:r>
    </w:p>
    <w:p>
      <w:pPr>
        <w:pStyle w:val="BodyText"/>
        <w:spacing w:before="145"/>
        <w:ind w:left="1001"/>
      </w:pPr>
      <w:r>
        <w:rPr>
          <w:rFonts w:ascii="Wingdings 3" w:hAnsi="Wingdings 3"/>
          <w:color w:val="000080"/>
        </w:rPr>
        <w:t></w:t>
      </w:r>
      <w:r>
        <w:rPr>
          <w:rFonts w:ascii="Times New Roman" w:hAnsi="Times New Roman"/>
          <w:color w:val="000080"/>
        </w:rPr>
        <w:t> </w:t>
      </w:r>
      <w:r>
        <w:rPr>
          <w:color w:val="000080"/>
        </w:rPr>
        <w:t>Ministers</w:t>
      </w:r>
    </w:p>
    <w:p>
      <w:pPr>
        <w:pStyle w:val="BodyText"/>
        <w:spacing w:before="9"/>
        <w:rPr>
          <w:sz w:val="17"/>
        </w:rPr>
      </w:pPr>
      <w:r>
        <w:rPr/>
        <w:br w:type="column"/>
      </w:r>
      <w:r>
        <w:rPr>
          <w:sz w:val="17"/>
        </w:rPr>
      </w:r>
    </w:p>
    <w:p>
      <w:pPr>
        <w:pStyle w:val="Heading5"/>
        <w:ind w:left="1001"/>
      </w:pPr>
      <w:r>
        <w:rPr>
          <w:color w:val="FF6621"/>
          <w:w w:val="105"/>
        </w:rPr>
        <w:t>Lobbying Function (Refer Page 11)</w:t>
      </w:r>
    </w:p>
    <w:p>
      <w:pPr>
        <w:pStyle w:val="BodyText"/>
        <w:spacing w:before="4"/>
        <w:rPr>
          <w:b/>
          <w:sz w:val="19"/>
        </w:rPr>
      </w:pPr>
      <w:r>
        <w:rPr/>
        <w:br w:type="column"/>
      </w:r>
      <w:r>
        <w:rPr>
          <w:b/>
          <w:sz w:val="19"/>
        </w:rPr>
      </w:r>
    </w:p>
    <w:p>
      <w:pPr>
        <w:spacing w:before="0"/>
        <w:ind w:left="1010" w:right="683" w:firstLine="0"/>
        <w:jc w:val="center"/>
        <w:rPr>
          <w:b/>
          <w:sz w:val="22"/>
        </w:rPr>
      </w:pPr>
      <w:r>
        <w:rPr>
          <w:b/>
          <w:color w:val="00A1E4"/>
          <w:w w:val="105"/>
          <w:sz w:val="22"/>
        </w:rPr>
        <w:t>Public Awareness Function (Refer Page 13)</w:t>
      </w:r>
    </w:p>
    <w:p>
      <w:pPr>
        <w:spacing w:after="0"/>
        <w:jc w:val="center"/>
        <w:rPr>
          <w:sz w:val="22"/>
        </w:rPr>
        <w:sectPr>
          <w:type w:val="continuous"/>
          <w:pgSz w:w="16840" w:h="11910" w:orient="landscape"/>
          <w:pgMar w:top="1100" w:bottom="280" w:left="580" w:right="620"/>
          <w:cols w:num="3" w:equalWidth="0">
            <w:col w:w="2771" w:space="1797"/>
            <w:col w:w="4345" w:space="907"/>
            <w:col w:w="5820"/>
          </w:cols>
        </w:sectPr>
      </w:pPr>
    </w:p>
    <w:p>
      <w:pPr>
        <w:pStyle w:val="BodyText"/>
        <w:spacing w:before="142"/>
        <w:ind w:left="1001"/>
      </w:pPr>
      <w:r>
        <w:rPr>
          <w:rFonts w:ascii="Wingdings 3" w:hAnsi="Wingdings 3"/>
          <w:color w:val="000080"/>
        </w:rPr>
        <w:t></w:t>
      </w:r>
      <w:r>
        <w:rPr>
          <w:rFonts w:ascii="Times New Roman" w:hAnsi="Times New Roman"/>
          <w:color w:val="000080"/>
        </w:rPr>
        <w:t> </w:t>
      </w:r>
      <w:r>
        <w:rPr>
          <w:color w:val="000080"/>
        </w:rPr>
        <w:t>Assistant Ministers</w:t>
      </w:r>
    </w:p>
    <w:p>
      <w:pPr>
        <w:pStyle w:val="BodyText"/>
        <w:spacing w:before="145"/>
        <w:ind w:left="1001"/>
      </w:pPr>
      <w:r>
        <w:rPr>
          <w:rFonts w:ascii="Wingdings 3" w:hAnsi="Wingdings 3"/>
          <w:color w:val="000080"/>
        </w:rPr>
        <w:t></w:t>
      </w:r>
      <w:r>
        <w:rPr>
          <w:rFonts w:ascii="Times New Roman" w:hAnsi="Times New Roman"/>
          <w:color w:val="000080"/>
        </w:rPr>
        <w:t> </w:t>
      </w:r>
      <w:r>
        <w:rPr>
          <w:color w:val="000080"/>
        </w:rPr>
        <w:t>The Leader of the Opposition</w:t>
      </w:r>
    </w:p>
    <w:p>
      <w:pPr>
        <w:pStyle w:val="BodyText"/>
        <w:spacing w:before="145"/>
        <w:ind w:left="1001"/>
      </w:pPr>
      <w:r>
        <w:rPr>
          <w:rFonts w:ascii="Wingdings 3" w:hAnsi="Wingdings 3"/>
          <w:color w:val="000080"/>
        </w:rPr>
        <w:t></w:t>
      </w:r>
      <w:r>
        <w:rPr>
          <w:rFonts w:ascii="Times New Roman" w:hAnsi="Times New Roman"/>
          <w:color w:val="000080"/>
        </w:rPr>
        <w:t> </w:t>
      </w:r>
      <w:r>
        <w:rPr>
          <w:color w:val="000080"/>
        </w:rPr>
        <w:t>Members of the Opposition, and</w:t>
      </w:r>
    </w:p>
    <w:p>
      <w:pPr>
        <w:pStyle w:val="BodyText"/>
        <w:spacing w:before="145"/>
        <w:ind w:left="1001"/>
      </w:pPr>
      <w:r>
        <w:rPr>
          <w:rFonts w:ascii="Wingdings 3" w:hAnsi="Wingdings 3"/>
          <w:color w:val="000080"/>
        </w:rPr>
        <w:t></w:t>
      </w:r>
      <w:r>
        <w:rPr>
          <w:rFonts w:ascii="Times New Roman" w:hAnsi="Times New Roman"/>
          <w:color w:val="000080"/>
        </w:rPr>
        <w:t> </w:t>
      </w:r>
      <w:r>
        <w:rPr>
          <w:color w:val="000080"/>
        </w:rPr>
        <w:t>Other Members of Parliament</w:t>
      </w:r>
    </w:p>
    <w:p>
      <w:pPr>
        <w:pStyle w:val="BodyText"/>
        <w:spacing w:before="144"/>
        <w:ind w:left="281"/>
      </w:pPr>
      <w:r>
        <w:rPr>
          <w:rFonts w:ascii="Wingdings 3" w:hAnsi="Wingdings 3"/>
          <w:color w:val="000080"/>
        </w:rPr>
        <w:t></w:t>
      </w:r>
      <w:r>
        <w:rPr>
          <w:rFonts w:ascii="Times New Roman" w:hAnsi="Times New Roman"/>
          <w:color w:val="000080"/>
        </w:rPr>
        <w:t> </w:t>
      </w:r>
      <w:r>
        <w:rPr>
          <w:color w:val="000080"/>
        </w:rPr>
        <w:t>Statutory office holders</w:t>
      </w:r>
    </w:p>
    <w:p>
      <w:pPr>
        <w:pStyle w:val="BodyText"/>
        <w:spacing w:line="242" w:lineRule="auto" w:before="145"/>
        <w:ind w:left="368" w:right="17" w:hanging="87"/>
      </w:pPr>
      <w:r>
        <w:rPr>
          <w:rFonts w:ascii="Wingdings 3" w:hAnsi="Wingdings 3"/>
          <w:color w:val="000080"/>
        </w:rPr>
        <w:t></w:t>
      </w:r>
      <w:r>
        <w:rPr>
          <w:rFonts w:ascii="Times New Roman" w:hAnsi="Times New Roman"/>
          <w:color w:val="000080"/>
        </w:rPr>
        <w:t> </w:t>
      </w:r>
      <w:r>
        <w:rPr>
          <w:color w:val="000080"/>
        </w:rPr>
        <w:t>A chief executive of a department of government or public service office</w:t>
      </w:r>
    </w:p>
    <w:p>
      <w:pPr>
        <w:pStyle w:val="BodyText"/>
        <w:spacing w:line="226" w:lineRule="exact" w:before="140"/>
        <w:ind w:left="281"/>
      </w:pPr>
      <w:r>
        <w:rPr>
          <w:rFonts w:ascii="Wingdings 3" w:hAnsi="Wingdings 3"/>
          <w:color w:val="000080"/>
        </w:rPr>
        <w:t></w:t>
      </w:r>
      <w:r>
        <w:rPr>
          <w:rFonts w:ascii="Times New Roman" w:hAnsi="Times New Roman"/>
          <w:color w:val="000080"/>
        </w:rPr>
        <w:t> </w:t>
      </w:r>
      <w:r>
        <w:rPr>
          <w:color w:val="000080"/>
        </w:rPr>
        <w:t>A senior executive or senior officer (public service)</w:t>
      </w:r>
    </w:p>
    <w:p>
      <w:pPr>
        <w:spacing w:before="115"/>
        <w:ind w:left="369" w:right="0" w:firstLine="0"/>
        <w:jc w:val="left"/>
        <w:rPr>
          <w:rFonts w:ascii="Gill Sans MT"/>
          <w:sz w:val="72"/>
        </w:rPr>
      </w:pPr>
      <w:r>
        <w:rPr/>
        <w:br w:type="column"/>
      </w:r>
      <w:r>
        <w:rPr>
          <w:position w:val="-26"/>
        </w:rPr>
        <w:drawing>
          <wp:inline distT="0" distB="0" distL="0" distR="0">
            <wp:extent cx="546201" cy="614476"/>
            <wp:effectExtent l="0" t="0" r="0" b="0"/>
            <wp:docPr id="23" name="image21.png"/>
            <wp:cNvGraphicFramePr>
              <a:graphicFrameLocks noChangeAspect="1"/>
            </wp:cNvGraphicFramePr>
            <a:graphic>
              <a:graphicData uri="http://schemas.openxmlformats.org/drawingml/2006/picture">
                <pic:pic>
                  <pic:nvPicPr>
                    <pic:cNvPr id="24" name="image21.png"/>
                    <pic:cNvPicPr/>
                  </pic:nvPicPr>
                  <pic:blipFill>
                    <a:blip r:embed="rId28" cstate="print"/>
                    <a:stretch>
                      <a:fillRect/>
                    </a:stretch>
                  </pic:blipFill>
                  <pic:spPr>
                    <a:xfrm>
                      <a:off x="0" y="0"/>
                      <a:ext cx="546201" cy="614476"/>
                    </a:xfrm>
                    <a:prstGeom prst="rect">
                      <a:avLst/>
                    </a:prstGeom>
                  </pic:spPr>
                </pic:pic>
              </a:graphicData>
            </a:graphic>
          </wp:inline>
        </w:drawing>
      </w:r>
      <w:r>
        <w:rPr>
          <w:position w:val="-26"/>
        </w:rPr>
      </w:r>
      <w:r>
        <w:rPr>
          <w:rFonts w:ascii="Times New Roman"/>
          <w:sz w:val="20"/>
        </w:rPr>
        <w:t>   </w:t>
      </w:r>
      <w:r>
        <w:rPr>
          <w:rFonts w:ascii="Times New Roman"/>
          <w:spacing w:val="4"/>
          <w:sz w:val="20"/>
        </w:rPr>
        <w:t> </w:t>
      </w:r>
      <w:r>
        <w:rPr>
          <w:rFonts w:ascii="Gill Sans MT"/>
          <w:color w:val="FF6621"/>
          <w:sz w:val="72"/>
        </w:rPr>
        <w:t>35</w:t>
      </w:r>
    </w:p>
    <w:p>
      <w:pPr>
        <w:pStyle w:val="BodyText"/>
        <w:spacing w:before="212"/>
        <w:ind w:left="281" w:right="21"/>
      </w:pPr>
      <w:r>
        <w:rPr>
          <w:color w:val="FF6621"/>
        </w:rPr>
        <w:t>Enquiries about lobbying matters</w:t>
      </w:r>
    </w:p>
    <w:p>
      <w:pPr>
        <w:pStyle w:val="Heading1"/>
        <w:spacing w:before="115"/>
      </w:pPr>
      <w:r>
        <w:rPr/>
        <w:br w:type="column"/>
      </w:r>
      <w:r>
        <w:rPr>
          <w:position w:val="-26"/>
        </w:rPr>
        <w:drawing>
          <wp:inline distT="0" distB="0" distL="0" distR="0">
            <wp:extent cx="478316" cy="614476"/>
            <wp:effectExtent l="0" t="0" r="0" b="0"/>
            <wp:docPr id="25" name="image22.png" descr="Checklist RTL"/>
            <wp:cNvGraphicFramePr>
              <a:graphicFrameLocks noChangeAspect="1"/>
            </wp:cNvGraphicFramePr>
            <a:graphic>
              <a:graphicData uri="http://schemas.openxmlformats.org/drawingml/2006/picture">
                <pic:pic>
                  <pic:nvPicPr>
                    <pic:cNvPr id="26" name="image22.png"/>
                    <pic:cNvPicPr/>
                  </pic:nvPicPr>
                  <pic:blipFill>
                    <a:blip r:embed="rId29" cstate="print"/>
                    <a:stretch>
                      <a:fillRect/>
                    </a:stretch>
                  </pic:blipFill>
                  <pic:spPr>
                    <a:xfrm>
                      <a:off x="0" y="0"/>
                      <a:ext cx="478316" cy="614476"/>
                    </a:xfrm>
                    <a:prstGeom prst="rect">
                      <a:avLst/>
                    </a:prstGeom>
                  </pic:spPr>
                </pic:pic>
              </a:graphicData>
            </a:graphic>
          </wp:inline>
        </w:drawing>
      </w:r>
      <w:r>
        <w:rPr>
          <w:position w:val="-26"/>
        </w:rPr>
      </w:r>
      <w:r>
        <w:rPr>
          <w:color w:val="FF6621"/>
        </w:rPr>
        <w:t>100%</w:t>
      </w:r>
    </w:p>
    <w:p>
      <w:pPr>
        <w:pStyle w:val="BodyText"/>
        <w:spacing w:before="212"/>
        <w:ind w:left="281"/>
      </w:pPr>
      <w:r>
        <w:rPr>
          <w:color w:val="FF6621"/>
        </w:rPr>
        <w:t>Entities audited and</w:t>
      </w:r>
      <w:r>
        <w:rPr>
          <w:color w:val="FF6621"/>
          <w:spacing w:val="-15"/>
        </w:rPr>
        <w:t> </w:t>
      </w:r>
      <w:r>
        <w:rPr>
          <w:color w:val="FF6621"/>
        </w:rPr>
        <w:t>up-to</w:t>
      </w:r>
    </w:p>
    <w:p>
      <w:pPr>
        <w:pStyle w:val="BodyText"/>
        <w:spacing w:before="1"/>
        <w:ind w:left="281" w:right="523"/>
      </w:pPr>
      <w:r>
        <w:rPr>
          <w:color w:val="FF6621"/>
        </w:rPr>
        <w:t>-date with compliance and contact details</w:t>
      </w:r>
    </w:p>
    <w:p>
      <w:pPr>
        <w:spacing w:before="138"/>
        <w:ind w:left="259" w:right="0" w:firstLine="0"/>
        <w:jc w:val="left"/>
        <w:rPr>
          <w:rFonts w:ascii="Gill Sans MT"/>
          <w:sz w:val="72"/>
        </w:rPr>
      </w:pPr>
      <w:r>
        <w:rPr/>
        <w:br w:type="column"/>
      </w:r>
      <w:r>
        <w:rPr>
          <w:position w:val="-25"/>
        </w:rPr>
        <w:drawing>
          <wp:inline distT="0" distB="0" distL="0" distR="0">
            <wp:extent cx="648614" cy="590092"/>
            <wp:effectExtent l="0" t="0" r="0" b="0"/>
            <wp:docPr id="27" name="image23.png"/>
            <wp:cNvGraphicFramePr>
              <a:graphicFrameLocks noChangeAspect="1"/>
            </wp:cNvGraphicFramePr>
            <a:graphic>
              <a:graphicData uri="http://schemas.openxmlformats.org/drawingml/2006/picture">
                <pic:pic>
                  <pic:nvPicPr>
                    <pic:cNvPr id="28" name="image23.png"/>
                    <pic:cNvPicPr/>
                  </pic:nvPicPr>
                  <pic:blipFill>
                    <a:blip r:embed="rId30" cstate="print"/>
                    <a:stretch>
                      <a:fillRect/>
                    </a:stretch>
                  </pic:blipFill>
                  <pic:spPr>
                    <a:xfrm>
                      <a:off x="0" y="0"/>
                      <a:ext cx="648614" cy="590092"/>
                    </a:xfrm>
                    <a:prstGeom prst="rect">
                      <a:avLst/>
                    </a:prstGeom>
                  </pic:spPr>
                </pic:pic>
              </a:graphicData>
            </a:graphic>
          </wp:inline>
        </w:drawing>
      </w:r>
      <w:r>
        <w:rPr>
          <w:position w:val="-25"/>
        </w:rPr>
      </w:r>
      <w:r>
        <w:rPr>
          <w:rFonts w:ascii="Times New Roman"/>
          <w:sz w:val="20"/>
        </w:rPr>
        <w:t>  </w:t>
      </w:r>
      <w:r>
        <w:rPr>
          <w:rFonts w:ascii="Times New Roman"/>
          <w:spacing w:val="-24"/>
          <w:sz w:val="20"/>
        </w:rPr>
        <w:t> </w:t>
      </w:r>
      <w:r>
        <w:rPr>
          <w:rFonts w:ascii="Gill Sans MT"/>
          <w:color w:val="00AFEF"/>
          <w:sz w:val="72"/>
        </w:rPr>
        <w:t>51</w:t>
      </w:r>
    </w:p>
    <w:p>
      <w:pPr>
        <w:pStyle w:val="BodyText"/>
        <w:spacing w:before="227"/>
        <w:ind w:left="255" w:right="18"/>
      </w:pPr>
      <w:r>
        <w:rPr>
          <w:color w:val="00AFEF"/>
        </w:rPr>
        <w:t>Education workshops and information sessions run state-wide</w:t>
      </w:r>
    </w:p>
    <w:p>
      <w:pPr>
        <w:spacing w:before="141"/>
        <w:ind w:left="316" w:right="0" w:firstLine="0"/>
        <w:jc w:val="left"/>
        <w:rPr>
          <w:rFonts w:ascii="Gill Sans MT"/>
          <w:sz w:val="72"/>
        </w:rPr>
      </w:pPr>
      <w:r>
        <w:rPr/>
        <w:br w:type="column"/>
      </w:r>
      <w:r>
        <w:rPr>
          <w:position w:val="-22"/>
        </w:rPr>
        <w:drawing>
          <wp:inline distT="0" distB="0" distL="0" distR="0">
            <wp:extent cx="599944" cy="565708"/>
            <wp:effectExtent l="0" t="0" r="0" b="0"/>
            <wp:docPr id="29" name="image24.png" descr="Social network"/>
            <wp:cNvGraphicFramePr>
              <a:graphicFrameLocks noChangeAspect="1"/>
            </wp:cNvGraphicFramePr>
            <a:graphic>
              <a:graphicData uri="http://schemas.openxmlformats.org/drawingml/2006/picture">
                <pic:pic>
                  <pic:nvPicPr>
                    <pic:cNvPr id="30" name="image24.png"/>
                    <pic:cNvPicPr/>
                  </pic:nvPicPr>
                  <pic:blipFill>
                    <a:blip r:embed="rId31" cstate="print"/>
                    <a:stretch>
                      <a:fillRect/>
                    </a:stretch>
                  </pic:blipFill>
                  <pic:spPr>
                    <a:xfrm>
                      <a:off x="0" y="0"/>
                      <a:ext cx="599944" cy="565708"/>
                    </a:xfrm>
                    <a:prstGeom prst="rect">
                      <a:avLst/>
                    </a:prstGeom>
                  </pic:spPr>
                </pic:pic>
              </a:graphicData>
            </a:graphic>
          </wp:inline>
        </w:drawing>
      </w:r>
      <w:r>
        <w:rPr>
          <w:position w:val="-22"/>
        </w:rPr>
      </w:r>
      <w:r>
        <w:rPr>
          <w:rFonts w:ascii="Times New Roman"/>
          <w:sz w:val="20"/>
        </w:rPr>
        <w:t>  </w:t>
      </w:r>
      <w:r>
        <w:rPr>
          <w:rFonts w:ascii="Times New Roman"/>
          <w:spacing w:val="22"/>
          <w:sz w:val="20"/>
        </w:rPr>
        <w:t> </w:t>
      </w:r>
      <w:r>
        <w:rPr>
          <w:rFonts w:ascii="Gill Sans MT"/>
          <w:color w:val="00AFEF"/>
          <w:sz w:val="72"/>
        </w:rPr>
        <w:t>52</w:t>
      </w:r>
    </w:p>
    <w:p>
      <w:pPr>
        <w:pStyle w:val="BodyText"/>
        <w:spacing w:before="251"/>
        <w:ind w:left="281" w:right="242"/>
      </w:pPr>
      <w:r>
        <w:rPr>
          <w:color w:val="00AFEF"/>
        </w:rPr>
        <w:t>Committees, meetings and other events</w:t>
      </w:r>
    </w:p>
    <w:p>
      <w:pPr>
        <w:spacing w:after="0"/>
        <w:sectPr>
          <w:type w:val="continuous"/>
          <w:pgSz w:w="16840" w:h="11910" w:orient="landscape"/>
          <w:pgMar w:top="1100" w:bottom="280" w:left="580" w:right="620"/>
          <w:cols w:num="5" w:equalWidth="0">
            <w:col w:w="4646" w:space="522"/>
            <w:col w:w="2341" w:space="273"/>
            <w:col w:w="2636" w:space="39"/>
            <w:col w:w="2382" w:space="159"/>
            <w:col w:w="2642"/>
          </w:cols>
        </w:sectPr>
      </w:pPr>
    </w:p>
    <w:p>
      <w:pPr>
        <w:pStyle w:val="BodyText"/>
        <w:spacing w:before="160"/>
        <w:ind w:left="281"/>
      </w:pPr>
      <w:r>
        <w:rPr>
          <w:rFonts w:ascii="Wingdings 3" w:hAnsi="Wingdings 3"/>
          <w:color w:val="000080"/>
        </w:rPr>
        <w:t></w:t>
      </w:r>
      <w:r>
        <w:rPr>
          <w:rFonts w:ascii="Times New Roman" w:hAnsi="Times New Roman"/>
          <w:color w:val="000080"/>
        </w:rPr>
        <w:t> </w:t>
      </w:r>
      <w:r>
        <w:rPr>
          <w:color w:val="000080"/>
        </w:rPr>
        <w:t>A chief executive of, or senior officer equivalent</w:t>
      </w:r>
    </w:p>
    <w:p>
      <w:pPr>
        <w:pStyle w:val="BodyText"/>
        <w:spacing w:before="4"/>
        <w:ind w:left="368"/>
      </w:pPr>
      <w:r>
        <w:rPr>
          <w:color w:val="000080"/>
        </w:rPr>
        <w:t>employed in, a government entity nominated by the</w:t>
      </w:r>
    </w:p>
    <w:p>
      <w:pPr>
        <w:pStyle w:val="Heading5"/>
        <w:spacing w:line="225" w:lineRule="exact"/>
        <w:ind w:left="281"/>
      </w:pPr>
      <w:r>
        <w:rPr>
          <w:b w:val="0"/>
        </w:rPr>
        <w:br w:type="column"/>
      </w:r>
      <w:r>
        <w:rPr>
          <w:color w:val="808080"/>
          <w:w w:val="110"/>
        </w:rPr>
        <w:t>General Information</w:t>
      </w:r>
    </w:p>
    <w:p>
      <w:pPr>
        <w:tabs>
          <w:tab w:pos="2989" w:val="left" w:leader="none"/>
        </w:tabs>
        <w:spacing w:line="254" w:lineRule="exact" w:before="0"/>
        <w:ind w:left="281" w:right="0" w:firstLine="0"/>
        <w:jc w:val="left"/>
        <w:rPr>
          <w:b/>
          <w:sz w:val="22"/>
        </w:rPr>
      </w:pPr>
      <w:r>
        <w:rPr/>
        <w:br w:type="column"/>
      </w:r>
      <w:r>
        <w:rPr>
          <w:b/>
          <w:color w:val="808080"/>
          <w:position w:val="2"/>
          <w:sz w:val="22"/>
        </w:rPr>
        <w:t>STAFF</w:t>
        <w:tab/>
      </w:r>
      <w:r>
        <w:rPr>
          <w:b/>
          <w:color w:val="808080"/>
          <w:sz w:val="22"/>
        </w:rPr>
        <w:t>BUDGET</w:t>
      </w:r>
    </w:p>
    <w:p>
      <w:pPr>
        <w:spacing w:after="0" w:line="254" w:lineRule="exact"/>
        <w:jc w:val="left"/>
        <w:rPr>
          <w:sz w:val="22"/>
        </w:rPr>
        <w:sectPr>
          <w:type w:val="continuous"/>
          <w:pgSz w:w="16840" w:h="11910" w:orient="landscape"/>
          <w:pgMar w:top="1100" w:bottom="280" w:left="580" w:right="620"/>
          <w:cols w:num="3" w:equalWidth="0">
            <w:col w:w="4658" w:space="630"/>
            <w:col w:w="2392" w:space="2778"/>
            <w:col w:w="5182"/>
          </w:cols>
        </w:sectPr>
      </w:pPr>
    </w:p>
    <w:p>
      <w:pPr>
        <w:pStyle w:val="BodyText"/>
        <w:spacing w:before="1"/>
        <w:ind w:left="368"/>
      </w:pPr>
      <w:r>
        <w:rPr>
          <w:color w:val="000080"/>
        </w:rPr>
        <w:t>Minister responsible for administering the entity</w:t>
      </w:r>
    </w:p>
    <w:p>
      <w:pPr>
        <w:pStyle w:val="BodyText"/>
        <w:spacing w:line="242" w:lineRule="auto" w:before="142"/>
        <w:ind w:left="368" w:hanging="87"/>
      </w:pPr>
      <w:r>
        <w:rPr>
          <w:rFonts w:ascii="Wingdings 3" w:hAnsi="Wingdings 3"/>
          <w:color w:val="000080"/>
        </w:rPr>
        <w:t></w:t>
      </w:r>
      <w:r>
        <w:rPr>
          <w:rFonts w:ascii="Times New Roman" w:hAnsi="Times New Roman"/>
          <w:color w:val="000080"/>
        </w:rPr>
        <w:t> </w:t>
      </w:r>
      <w:r>
        <w:rPr>
          <w:color w:val="000080"/>
        </w:rPr>
        <w:t>A ministerial staff member who gives, or a person engaged to give, advice to a Minister</w:t>
      </w:r>
    </w:p>
    <w:p>
      <w:pPr>
        <w:pStyle w:val="BodyText"/>
        <w:spacing w:before="138"/>
        <w:ind w:left="281"/>
      </w:pPr>
      <w:r>
        <w:rPr>
          <w:rFonts w:ascii="Wingdings 3" w:hAnsi="Wingdings 3"/>
          <w:color w:val="000080"/>
        </w:rPr>
        <w:t></w:t>
      </w:r>
      <w:r>
        <w:rPr>
          <w:rFonts w:ascii="Times New Roman" w:hAnsi="Times New Roman"/>
          <w:color w:val="000080"/>
        </w:rPr>
        <w:t> </w:t>
      </w:r>
      <w:r>
        <w:rPr>
          <w:color w:val="000080"/>
        </w:rPr>
        <w:t>An assistant minister staff member who gives, or a</w:t>
      </w:r>
    </w:p>
    <w:p>
      <w:pPr>
        <w:pStyle w:val="BodyText"/>
        <w:spacing w:before="3"/>
        <w:ind w:left="368"/>
      </w:pPr>
      <w:r>
        <w:rPr>
          <w:color w:val="000080"/>
        </w:rPr>
        <w:t>person engaged to give, advice to an Assistant Minister</w:t>
      </w:r>
    </w:p>
    <w:p>
      <w:pPr>
        <w:pStyle w:val="BodyText"/>
        <w:spacing w:before="142"/>
        <w:ind w:left="281"/>
      </w:pPr>
      <w:r>
        <w:rPr>
          <w:rFonts w:ascii="Wingdings 3" w:hAnsi="Wingdings 3"/>
          <w:color w:val="000080"/>
        </w:rPr>
        <w:t></w:t>
      </w:r>
      <w:r>
        <w:rPr>
          <w:rFonts w:ascii="Times New Roman" w:hAnsi="Times New Roman"/>
          <w:color w:val="000080"/>
        </w:rPr>
        <w:t> </w:t>
      </w:r>
      <w:r>
        <w:rPr>
          <w:color w:val="000080"/>
        </w:rPr>
        <w:t>A person, or class of persons, nominated by a Minister</w:t>
      </w:r>
    </w:p>
    <w:p>
      <w:pPr>
        <w:pStyle w:val="BodyText"/>
        <w:spacing w:before="3"/>
        <w:ind w:left="368"/>
      </w:pPr>
      <w:r>
        <w:rPr>
          <w:color w:val="000080"/>
        </w:rPr>
        <w:t>or Assistant Minister, including, but not limited to,</w:t>
      </w:r>
    </w:p>
    <w:p>
      <w:pPr>
        <w:pStyle w:val="BodyText"/>
        <w:spacing w:before="1"/>
        <w:ind w:left="368"/>
      </w:pPr>
      <w:r>
        <w:rPr>
          <w:color w:val="000080"/>
        </w:rPr>
        <w:t>Mayors and Councillors</w:t>
      </w:r>
    </w:p>
    <w:p>
      <w:pPr>
        <w:spacing w:before="18"/>
        <w:ind w:left="341" w:right="0" w:firstLine="0"/>
        <w:jc w:val="left"/>
        <w:rPr>
          <w:rFonts w:ascii="Gill Sans MT"/>
          <w:sz w:val="72"/>
        </w:rPr>
      </w:pPr>
      <w:r>
        <w:rPr/>
        <w:br w:type="column"/>
      </w:r>
      <w:r>
        <w:rPr>
          <w:position w:val="-27"/>
        </w:rPr>
        <w:drawing>
          <wp:inline distT="0" distB="0" distL="0" distR="0">
            <wp:extent cx="585215" cy="633983"/>
            <wp:effectExtent l="0" t="0" r="0" b="0"/>
            <wp:docPr id="31" name="image25.png"/>
            <wp:cNvGraphicFramePr>
              <a:graphicFrameLocks noChangeAspect="1"/>
            </wp:cNvGraphicFramePr>
            <a:graphic>
              <a:graphicData uri="http://schemas.openxmlformats.org/drawingml/2006/picture">
                <pic:pic>
                  <pic:nvPicPr>
                    <pic:cNvPr id="32" name="image25.png"/>
                    <pic:cNvPicPr/>
                  </pic:nvPicPr>
                  <pic:blipFill>
                    <a:blip r:embed="rId32" cstate="print"/>
                    <a:stretch>
                      <a:fillRect/>
                    </a:stretch>
                  </pic:blipFill>
                  <pic:spPr>
                    <a:xfrm>
                      <a:off x="0" y="0"/>
                      <a:ext cx="585215" cy="633983"/>
                    </a:xfrm>
                    <a:prstGeom prst="rect">
                      <a:avLst/>
                    </a:prstGeom>
                  </pic:spPr>
                </pic:pic>
              </a:graphicData>
            </a:graphic>
          </wp:inline>
        </w:drawing>
      </w:r>
      <w:r>
        <w:rPr>
          <w:position w:val="-27"/>
        </w:rPr>
      </w:r>
      <w:r>
        <w:rPr>
          <w:rFonts w:ascii="Times New Roman"/>
          <w:sz w:val="20"/>
        </w:rPr>
        <w:t>  </w:t>
      </w:r>
      <w:r>
        <w:rPr>
          <w:rFonts w:ascii="Times New Roman"/>
          <w:spacing w:val="20"/>
          <w:sz w:val="20"/>
        </w:rPr>
        <w:t> </w:t>
      </w:r>
      <w:r>
        <w:rPr>
          <w:rFonts w:ascii="Gill Sans MT"/>
          <w:color w:val="808080"/>
          <w:sz w:val="72"/>
        </w:rPr>
        <w:t>70</w:t>
      </w:r>
    </w:p>
    <w:p>
      <w:pPr>
        <w:pStyle w:val="BodyText"/>
        <w:spacing w:before="201"/>
        <w:ind w:left="281" w:right="31"/>
      </w:pPr>
      <w:r>
        <w:rPr>
          <w:color w:val="808080"/>
        </w:rPr>
        <w:t>Enquiries from non- designated persons (members of the</w:t>
      </w:r>
      <w:r>
        <w:rPr>
          <w:color w:val="808080"/>
          <w:spacing w:val="-15"/>
        </w:rPr>
        <w:t> </w:t>
      </w:r>
      <w:r>
        <w:rPr>
          <w:color w:val="808080"/>
        </w:rPr>
        <w:t>public)</w:t>
      </w:r>
    </w:p>
    <w:p>
      <w:pPr>
        <w:spacing w:before="64"/>
        <w:ind w:left="367" w:right="0" w:firstLine="0"/>
        <w:jc w:val="left"/>
        <w:rPr>
          <w:rFonts w:ascii="Gill Sans MT"/>
          <w:sz w:val="72"/>
        </w:rPr>
      </w:pPr>
      <w:r>
        <w:rPr/>
        <w:br w:type="column"/>
      </w:r>
      <w:r>
        <w:rPr>
          <w:position w:val="-20"/>
        </w:rPr>
        <w:drawing>
          <wp:inline distT="0" distB="0" distL="0" distR="0">
            <wp:extent cx="556260" cy="546607"/>
            <wp:effectExtent l="0" t="0" r="0" b="0"/>
            <wp:docPr id="33" name="image26.png"/>
            <wp:cNvGraphicFramePr>
              <a:graphicFrameLocks noChangeAspect="1"/>
            </wp:cNvGraphicFramePr>
            <a:graphic>
              <a:graphicData uri="http://schemas.openxmlformats.org/drawingml/2006/picture">
                <pic:pic>
                  <pic:nvPicPr>
                    <pic:cNvPr id="34" name="image26.png"/>
                    <pic:cNvPicPr/>
                  </pic:nvPicPr>
                  <pic:blipFill>
                    <a:blip r:embed="rId33" cstate="print"/>
                    <a:stretch>
                      <a:fillRect/>
                    </a:stretch>
                  </pic:blipFill>
                  <pic:spPr>
                    <a:xfrm>
                      <a:off x="0" y="0"/>
                      <a:ext cx="556260" cy="546607"/>
                    </a:xfrm>
                    <a:prstGeom prst="rect">
                      <a:avLst/>
                    </a:prstGeom>
                  </pic:spPr>
                </pic:pic>
              </a:graphicData>
            </a:graphic>
          </wp:inline>
        </w:drawing>
      </w:r>
      <w:r>
        <w:rPr>
          <w:position w:val="-20"/>
        </w:rPr>
      </w:r>
      <w:r>
        <w:rPr>
          <w:rFonts w:ascii="Times New Roman"/>
          <w:sz w:val="20"/>
        </w:rPr>
        <w:t>   </w:t>
      </w:r>
      <w:r>
        <w:rPr>
          <w:rFonts w:ascii="Times New Roman"/>
          <w:spacing w:val="-10"/>
          <w:sz w:val="20"/>
        </w:rPr>
        <w:t> </w:t>
      </w:r>
      <w:r>
        <w:rPr>
          <w:rFonts w:ascii="Gill Sans MT"/>
          <w:color w:val="808080"/>
          <w:sz w:val="72"/>
        </w:rPr>
        <w:t>10</w:t>
      </w:r>
    </w:p>
    <w:p>
      <w:pPr>
        <w:pStyle w:val="BodyText"/>
        <w:spacing w:before="271"/>
        <w:ind w:left="281"/>
      </w:pPr>
      <w:r>
        <w:rPr>
          <w:color w:val="808080"/>
        </w:rPr>
        <w:t>Media enquiries</w:t>
      </w:r>
    </w:p>
    <w:p>
      <w:pPr>
        <w:spacing w:before="21"/>
        <w:ind w:left="407" w:right="0" w:firstLine="0"/>
        <w:jc w:val="left"/>
        <w:rPr>
          <w:rFonts w:ascii="Gill Sans MT"/>
          <w:sz w:val="72"/>
        </w:rPr>
      </w:pPr>
      <w:r>
        <w:rPr/>
        <w:br w:type="column"/>
      </w:r>
      <w:r>
        <w:rPr>
          <w:position w:val="-23"/>
        </w:rPr>
        <w:drawing>
          <wp:inline distT="0" distB="0" distL="0" distR="0">
            <wp:extent cx="526694" cy="526694"/>
            <wp:effectExtent l="0" t="0" r="0" b="0"/>
            <wp:docPr id="35" name="image27.png"/>
            <wp:cNvGraphicFramePr>
              <a:graphicFrameLocks noChangeAspect="1"/>
            </wp:cNvGraphicFramePr>
            <a:graphic>
              <a:graphicData uri="http://schemas.openxmlformats.org/drawingml/2006/picture">
                <pic:pic>
                  <pic:nvPicPr>
                    <pic:cNvPr id="36" name="image27.png"/>
                    <pic:cNvPicPr/>
                  </pic:nvPicPr>
                  <pic:blipFill>
                    <a:blip r:embed="rId34" cstate="print"/>
                    <a:stretch>
                      <a:fillRect/>
                    </a:stretch>
                  </pic:blipFill>
                  <pic:spPr>
                    <a:xfrm>
                      <a:off x="0" y="0"/>
                      <a:ext cx="526694" cy="526694"/>
                    </a:xfrm>
                    <a:prstGeom prst="rect">
                      <a:avLst/>
                    </a:prstGeom>
                  </pic:spPr>
                </pic:pic>
              </a:graphicData>
            </a:graphic>
          </wp:inline>
        </w:drawing>
      </w:r>
      <w:r>
        <w:rPr>
          <w:position w:val="-23"/>
        </w:rPr>
      </w:r>
      <w:r>
        <w:rPr>
          <w:rFonts w:ascii="Times New Roman"/>
          <w:sz w:val="20"/>
        </w:rPr>
        <w:t>    </w:t>
      </w:r>
      <w:r>
        <w:rPr>
          <w:rFonts w:ascii="Times New Roman"/>
          <w:spacing w:val="-6"/>
          <w:sz w:val="20"/>
        </w:rPr>
        <w:t> </w:t>
      </w:r>
      <w:r>
        <w:rPr>
          <w:rFonts w:ascii="Gill Sans MT"/>
          <w:color w:val="808080"/>
          <w:sz w:val="72"/>
        </w:rPr>
        <w:t>5</w:t>
      </w:r>
    </w:p>
    <w:p>
      <w:pPr>
        <w:pStyle w:val="BodyText"/>
        <w:spacing w:before="392"/>
        <w:ind w:left="281"/>
      </w:pPr>
      <w:r>
        <w:rPr>
          <w:color w:val="808080"/>
        </w:rPr>
        <w:t>Commissioner 1</w:t>
      </w:r>
      <w:r>
        <w:rPr>
          <w:color w:val="808080"/>
          <w:spacing w:val="-11"/>
        </w:rPr>
        <w:t> </w:t>
      </w:r>
      <w:r>
        <w:rPr>
          <w:color w:val="808080"/>
        </w:rPr>
        <w:t>FTE</w:t>
      </w:r>
    </w:p>
    <w:p>
      <w:pPr>
        <w:pStyle w:val="BodyText"/>
        <w:spacing w:before="121"/>
        <w:ind w:left="281"/>
      </w:pPr>
      <w:r>
        <w:rPr>
          <w:color w:val="808080"/>
        </w:rPr>
        <w:t>Permanent Staff 3 FTE</w:t>
      </w:r>
    </w:p>
    <w:p>
      <w:pPr>
        <w:pStyle w:val="BodyText"/>
        <w:spacing w:before="118"/>
        <w:ind w:left="281" w:right="11"/>
      </w:pPr>
      <w:r>
        <w:rPr>
          <w:color w:val="808080"/>
        </w:rPr>
        <w:t>Temporary Staff 1 FTE for one year (2019-2020)</w:t>
      </w:r>
    </w:p>
    <w:p>
      <w:pPr>
        <w:pStyle w:val="Heading1"/>
        <w:ind w:left="905"/>
      </w:pPr>
      <w:r>
        <w:rPr/>
        <w:br w:type="column"/>
      </w:r>
      <w:r>
        <w:rPr>
          <w:color w:val="808080"/>
        </w:rPr>
        <w:t>1.2M</w:t>
      </w:r>
    </w:p>
    <w:p>
      <w:pPr>
        <w:pStyle w:val="BodyText"/>
        <w:spacing w:line="357" w:lineRule="auto" w:before="483"/>
        <w:ind w:left="281" w:right="228"/>
      </w:pPr>
      <w:r>
        <w:rPr/>
        <w:drawing>
          <wp:anchor distT="0" distB="0" distL="0" distR="0" allowOverlap="1" layoutInCell="1" locked="0" behindDoc="0" simplePos="0" relativeHeight="15735808">
            <wp:simplePos x="0" y="0"/>
            <wp:positionH relativeFrom="page">
              <wp:posOffset>8852865</wp:posOffset>
            </wp:positionH>
            <wp:positionV relativeFrom="paragraph">
              <wp:posOffset>-569601</wp:posOffset>
            </wp:positionV>
            <wp:extent cx="307238" cy="663244"/>
            <wp:effectExtent l="0" t="0" r="0" b="0"/>
            <wp:wrapNone/>
            <wp:docPr id="37" name="image28.png"/>
            <wp:cNvGraphicFramePr>
              <a:graphicFrameLocks noChangeAspect="1"/>
            </wp:cNvGraphicFramePr>
            <a:graphic>
              <a:graphicData uri="http://schemas.openxmlformats.org/drawingml/2006/picture">
                <pic:pic>
                  <pic:nvPicPr>
                    <pic:cNvPr id="38" name="image28.png"/>
                    <pic:cNvPicPr/>
                  </pic:nvPicPr>
                  <pic:blipFill>
                    <a:blip r:embed="rId35" cstate="print"/>
                    <a:stretch>
                      <a:fillRect/>
                    </a:stretch>
                  </pic:blipFill>
                  <pic:spPr>
                    <a:xfrm>
                      <a:off x="0" y="0"/>
                      <a:ext cx="307238" cy="663244"/>
                    </a:xfrm>
                    <a:prstGeom prst="rect">
                      <a:avLst/>
                    </a:prstGeom>
                  </pic:spPr>
                </pic:pic>
              </a:graphicData>
            </a:graphic>
          </wp:anchor>
        </w:drawing>
      </w:r>
      <w:r>
        <w:rPr>
          <w:color w:val="808080"/>
        </w:rPr>
        <w:t>Original budget $1.202 M Actual budget: $1.181</w:t>
      </w:r>
      <w:r>
        <w:rPr>
          <w:color w:val="808080"/>
          <w:spacing w:val="-8"/>
        </w:rPr>
        <w:t> </w:t>
      </w:r>
      <w:r>
        <w:rPr>
          <w:color w:val="808080"/>
        </w:rPr>
        <w:t>M</w:t>
      </w:r>
    </w:p>
    <w:p>
      <w:pPr>
        <w:spacing w:after="0" w:line="357" w:lineRule="auto"/>
        <w:sectPr>
          <w:type w:val="continuous"/>
          <w:pgSz w:w="16840" w:h="11910" w:orient="landscape"/>
          <w:pgMar w:top="1100" w:bottom="280" w:left="580" w:right="620"/>
          <w:cols w:num="5" w:equalWidth="0">
            <w:col w:w="4880" w:space="300"/>
            <w:col w:w="2276" w:space="340"/>
            <w:col w:w="2195" w:space="429"/>
            <w:col w:w="2388" w:space="228"/>
            <w:col w:w="2604"/>
          </w:cols>
        </w:sectPr>
      </w:pPr>
    </w:p>
    <w:p>
      <w:pPr>
        <w:pStyle w:val="Heading2"/>
        <w:jc w:val="both"/>
      </w:pPr>
      <w:r>
        <w:rPr>
          <w:color w:val="71A276"/>
          <w:w w:val="110"/>
        </w:rPr>
        <w:t>Advice on ethics, integrity, and interests Functions</w:t>
      </w:r>
    </w:p>
    <w:p>
      <w:pPr>
        <w:pStyle w:val="BodyText"/>
        <w:spacing w:line="300" w:lineRule="auto" w:before="215"/>
        <w:ind w:left="245" w:right="40"/>
        <w:jc w:val="both"/>
      </w:pPr>
      <w:r>
        <w:rPr/>
        <w:t>This section of the report deals with the ethics, integrity, and interests functions of the Integrity Commissioner as set out in chapter 3 of the </w:t>
      </w:r>
      <w:r>
        <w:rPr>
          <w:i/>
        </w:rPr>
        <w:t>Integrity Act 2009</w:t>
      </w:r>
      <w:r>
        <w:rPr/>
        <w:t>. Sections 7(1)(a) and 7(1)(b) of the </w:t>
      </w:r>
      <w:r>
        <w:rPr>
          <w:i/>
        </w:rPr>
        <w:t>Integrity Act 2009 </w:t>
      </w:r>
      <w:r>
        <w:rPr/>
        <w:t>detail these functions.</w:t>
      </w:r>
    </w:p>
    <w:p>
      <w:pPr>
        <w:pStyle w:val="BodyText"/>
        <w:spacing w:before="8"/>
        <w:rPr>
          <w:sz w:val="16"/>
        </w:rPr>
      </w:pPr>
    </w:p>
    <w:p>
      <w:pPr>
        <w:pStyle w:val="Heading5"/>
        <w:spacing w:before="1"/>
        <w:jc w:val="both"/>
      </w:pPr>
      <w:r>
        <w:rPr>
          <w:w w:val="110"/>
        </w:rPr>
        <w:t>Ethics and Integrity Advice</w:t>
      </w:r>
    </w:p>
    <w:p>
      <w:pPr>
        <w:pStyle w:val="BodyText"/>
        <w:spacing w:line="300" w:lineRule="auto" w:before="144"/>
        <w:ind w:left="245" w:right="52"/>
        <w:jc w:val="both"/>
      </w:pPr>
      <w:r>
        <w:rPr/>
        <w:t>Under the </w:t>
      </w:r>
      <w:r>
        <w:rPr>
          <w:i/>
        </w:rPr>
        <w:t>Integrity Act 2009</w:t>
      </w:r>
      <w:r>
        <w:rPr/>
        <w:t>, the Integrity Commissioner provides formal advice to current or former designated persons on ethics or integrity issues provided for under chapter 3, part 2.</w:t>
      </w:r>
    </w:p>
    <w:p>
      <w:pPr>
        <w:pStyle w:val="BodyText"/>
        <w:spacing w:line="297" w:lineRule="auto" w:before="81"/>
        <w:ind w:left="245" w:right="42"/>
        <w:jc w:val="both"/>
      </w:pPr>
      <w:r>
        <w:rPr/>
        <w:t>The statutory processes to follow for requests for advice are set out under chapter 3, part 2, and include that the request must be received in writing. Further, the Integrity Commissioner is obliged to also provide advice in writing.</w:t>
      </w:r>
    </w:p>
    <w:p>
      <w:pPr>
        <w:pStyle w:val="BodyText"/>
        <w:spacing w:line="300" w:lineRule="auto" w:before="83"/>
        <w:ind w:left="245" w:right="42"/>
        <w:jc w:val="both"/>
      </w:pPr>
      <w:r>
        <w:rPr/>
        <w:t>Generally, advice cannot be sought or provided orally. However, as set out on the following page in ‘Meetings with Members of the Legislative Assembly’, under chapter 3, part 3, the Integrity Commissioner is able to meet with, and provide written or oral advice to members of the Legislative Assembly in regard to any interest issues for the</w:t>
      </w:r>
      <w:r>
        <w:rPr>
          <w:spacing w:val="-15"/>
        </w:rPr>
        <w:t> </w:t>
      </w:r>
      <w:r>
        <w:rPr/>
        <w:t>member.</w:t>
      </w:r>
    </w:p>
    <w:p>
      <w:pPr>
        <w:pStyle w:val="BodyText"/>
        <w:spacing w:line="300" w:lineRule="auto" w:before="81"/>
        <w:ind w:left="245" w:right="52"/>
        <w:jc w:val="both"/>
      </w:pPr>
      <w:r>
        <w:rPr/>
        <w:t>The distinction between who can seek and be provided with oral advice is an important distinction, and designated persons are reminded of their obligation to put any requests for advice, as well as the full facts, in</w:t>
      </w:r>
      <w:r>
        <w:rPr>
          <w:spacing w:val="-16"/>
        </w:rPr>
        <w:t> </w:t>
      </w:r>
      <w:r>
        <w:rPr/>
        <w:t>writing.</w:t>
      </w:r>
    </w:p>
    <w:p>
      <w:pPr>
        <w:pStyle w:val="BodyText"/>
        <w:spacing w:line="300" w:lineRule="auto" w:before="81"/>
        <w:ind w:left="245" w:right="48"/>
        <w:jc w:val="both"/>
      </w:pPr>
      <w:r>
        <w:rPr/>
        <w:t>In providing advice, the Integrity Commissioner does not provide legal advice, but is statutorily obliged to consider any standards or codes that are relevant, and aims to promote and establish consistency.</w:t>
      </w:r>
    </w:p>
    <w:p>
      <w:pPr>
        <w:pStyle w:val="BodyText"/>
        <w:spacing w:line="300" w:lineRule="auto" w:before="79"/>
        <w:ind w:left="245" w:right="48"/>
        <w:jc w:val="both"/>
      </w:pPr>
      <w:r>
        <w:rPr/>
        <w:t>The Integrity Commissioner has also developed materials that set out the process and factors she relies on when providing advice, and these are published on the Queensland Integrity Commissioner website. This approach serves to enhance trust in public officials and public institutions by ensuring that standards are known and applied universally, and aims to reduce any public perceptions of unfairness, discrimination, favoritism, nepotism, and bias.</w:t>
      </w:r>
    </w:p>
    <w:p>
      <w:pPr>
        <w:pStyle w:val="BodyText"/>
      </w:pPr>
    </w:p>
    <w:p>
      <w:pPr>
        <w:pStyle w:val="BodyText"/>
        <w:spacing w:before="5"/>
        <w:rPr>
          <w:sz w:val="18"/>
        </w:rPr>
      </w:pPr>
    </w:p>
    <w:p>
      <w:pPr>
        <w:pStyle w:val="Heading5"/>
        <w:jc w:val="both"/>
      </w:pPr>
      <w:r>
        <w:rPr>
          <w:w w:val="110"/>
        </w:rPr>
        <w:t>Sources of Advice requests</w:t>
      </w:r>
    </w:p>
    <w:p>
      <w:pPr>
        <w:pStyle w:val="BodyText"/>
        <w:spacing w:line="300" w:lineRule="auto" w:before="144"/>
        <w:ind w:left="245" w:right="53"/>
        <w:jc w:val="both"/>
      </w:pPr>
      <w:r>
        <w:rPr/>
        <w:t>Overall, the main class of persons who sought advice from the Integrity Commissioner were Mayors and Councillors, followed by Members of the Legislative Assembly and Chief Executives.</w:t>
      </w:r>
    </w:p>
    <w:p>
      <w:pPr>
        <w:pStyle w:val="BodyText"/>
        <w:spacing w:line="300" w:lineRule="auto" w:before="81"/>
        <w:ind w:left="245" w:right="38"/>
        <w:jc w:val="both"/>
      </w:pPr>
      <w:r>
        <w:rPr/>
        <w:t>For Mayors and Councillors and Members of the Legislative Assembly, the main reason for seeking advice related to a decision before them that had the potential to materially affect the value of their residential or investment property. The second most common issue to arise for these classes of designated person, understandably given their often long-standing community ties, was a decision before them involving a community or sporting group they had a past or present association with.</w:t>
      </w:r>
    </w:p>
    <w:p>
      <w:pPr>
        <w:pStyle w:val="BodyText"/>
        <w:spacing w:line="297" w:lineRule="auto" w:before="81"/>
        <w:ind w:left="245" w:right="52"/>
        <w:jc w:val="both"/>
      </w:pPr>
      <w:r>
        <w:rPr/>
        <w:t>In comparison, the most common scenarios for Chief Executive Officers involved duty on duty conflicts or queries about their reporting obligations.</w:t>
      </w:r>
    </w:p>
    <w:p>
      <w:pPr>
        <w:spacing w:before="52"/>
        <w:ind w:left="245" w:right="0" w:firstLine="0"/>
        <w:jc w:val="left"/>
        <w:rPr>
          <w:sz w:val="28"/>
        </w:rPr>
      </w:pPr>
      <w:r>
        <w:rPr/>
        <w:br w:type="column"/>
      </w:r>
      <w:r>
        <w:rPr>
          <w:color w:val="71A276"/>
          <w:w w:val="110"/>
          <w:sz w:val="28"/>
        </w:rPr>
        <w:t>Sources of Advice Requests</w:t>
      </w:r>
    </w:p>
    <w:p>
      <w:pPr>
        <w:pStyle w:val="BodyText"/>
        <w:spacing w:before="10"/>
        <w:rPr>
          <w:sz w:val="5"/>
        </w:rPr>
      </w:pPr>
    </w:p>
    <w:p>
      <w:pPr>
        <w:pStyle w:val="BodyText"/>
        <w:ind w:left="332"/>
      </w:pPr>
      <w:r>
        <w:rPr/>
        <w:pict>
          <v:group style="width:160.8pt;height:153.450pt;mso-position-horizontal-relative:char;mso-position-vertical-relative:line" coordorigin="0,0" coordsize="3216,3069">
            <v:shape style="position:absolute;left:25;top:25;width:3166;height:3019" coordorigin="25,25" coordsize="3166,3019" path="m1608,25l1531,27,1456,32,1381,40,1307,52,1235,67,1164,85,1094,106,1025,130,959,157,893,187,830,220,768,255,708,292,650,333,594,375,540,420,489,467,439,516,392,568,348,621,305,676,266,734,229,792,195,853,164,915,136,979,110,1044,88,1111,69,1179,54,1248,41,1318,32,1389,27,1461,25,1534,27,1608,32,1680,41,1751,54,1821,69,1890,88,1958,110,2025,136,2090,164,2154,195,2216,229,2276,266,2335,305,2393,348,2448,392,2501,439,2553,489,2602,540,2649,594,2694,650,2736,708,2776,768,2814,830,2849,893,2882,959,2911,1025,2938,1094,2962,1164,2984,1235,3002,1307,3017,1381,3028,1456,3037,1531,3042,1608,3044,1685,3042,1760,3037,1835,3028,1909,3017,1981,3002,2052,2984,2122,2962,2191,2938,2257,2911,2323,2882,2386,2849,2448,2814,2508,2776,2566,2736,2622,2694,2676,2649,2727,2602,2777,2553,2824,2501,2868,2448,2911,2393,2950,2335,2987,2276,3021,2216,3052,2154,3080,2090,3106,2025,3128,1958,3147,1890,3162,1821,3175,1751,3184,1680,3189,1608,3191,1534,3189,1461,3184,1389,3175,1318,3162,1248,3147,1179,3128,1111,3106,1044,3080,979,3052,915,3021,853,2987,792,2950,734,2911,676,2868,621,2824,568,2777,516,2727,467,2676,420,2622,375,2566,333,2508,292,2448,255,2386,220,2323,187,2257,157,2191,130,2122,106,2052,85,1981,67,1909,52,1835,40,1760,32,1685,27,1608,25xe" filled="true" fillcolor="#71a276" stroked="false">
              <v:path arrowok="t"/>
              <v:fill type="solid"/>
            </v:shape>
            <v:shape style="position:absolute;left:25;top:25;width:3166;height:3019" coordorigin="25,25" coordsize="3166,3019" path="m1608,25l1531,27,1456,32,1381,40,1307,52,1235,67,1164,85,1094,106,1025,130,959,157,893,187,830,220,768,255,708,292,650,333,594,375,540,420,489,467,439,516,392,568,348,621,305,676,266,734,229,792,195,853,164,915,136,979,110,1044,88,1111,69,1179,54,1248,41,1318,32,1389,27,1461,25,1534,27,1608,32,1680,41,1751,54,1821,69,1890,88,1958,110,2025,136,2090,164,2154,195,2216,229,2276,266,2335,305,2393,348,2448,392,2501,439,2553,489,2602,540,2649,594,2694,650,2736,708,2776,768,2814,830,2849,893,2882,959,2911,1025,2938,1094,2962,1164,2984,1235,3002,1307,3017,1381,3028,1456,3037,1531,3042,1608,3044,1685,3042,1760,3037,1835,3028,1909,3017,1981,3002,2052,2984,2122,2962,2191,2938,2257,2911,2323,2882,2386,2849,2448,2814,2508,2776,2566,2736,2622,2694,2676,2649,2727,2602,2777,2553,2824,2501,2868,2448,2911,2393,2950,2335,2987,2276,3021,2216,3052,2154,3080,2090,3106,2025,3128,1958,3147,1890,3162,1821,3175,1751,3184,1680,3189,1608,3191,1534,3189,1461,3184,1389,3175,1318,3162,1248,3147,1179,3128,1111,3106,1044,3080,979,3052,915,3021,853,2987,792,2950,734,2911,676,2868,621,2824,568,2777,516,2727,467,2676,420,2622,375,2566,333,2508,292,2448,255,2386,220,2323,187,2257,157,2191,130,2122,106,2052,85,1981,67,1909,52,1835,40,1760,32,1685,27,1608,25xe" filled="false" stroked="true" strokeweight="2.5pt" strokecolor="#71a276">
              <v:path arrowok="t"/>
              <v:stroke dashstyle="solid"/>
            </v:shape>
            <v:shape style="position:absolute;left:492;top:1997;width:2325;height:490" type="#_x0000_t202" filled="false" stroked="false">
              <v:textbox inset="0,0,0,0">
                <w:txbxContent>
                  <w:p>
                    <w:pPr>
                      <w:spacing w:line="225" w:lineRule="exact" w:before="0"/>
                      <w:ind w:left="-1" w:right="18" w:firstLine="0"/>
                      <w:jc w:val="center"/>
                      <w:rPr>
                        <w:sz w:val="22"/>
                      </w:rPr>
                    </w:pPr>
                    <w:r>
                      <w:rPr>
                        <w:color w:val="FFFFFF"/>
                        <w:sz w:val="22"/>
                      </w:rPr>
                      <w:t>formal requests for</w:t>
                    </w:r>
                    <w:r>
                      <w:rPr>
                        <w:color w:val="FFFFFF"/>
                        <w:spacing w:val="3"/>
                        <w:sz w:val="22"/>
                      </w:rPr>
                      <w:t> </w:t>
                    </w:r>
                    <w:r>
                      <w:rPr>
                        <w:color w:val="FFFFFF"/>
                        <w:spacing w:val="-3"/>
                        <w:sz w:val="22"/>
                      </w:rPr>
                      <w:t>ethics</w:t>
                    </w:r>
                  </w:p>
                  <w:p>
                    <w:pPr>
                      <w:spacing w:line="265" w:lineRule="exact" w:before="0"/>
                      <w:ind w:left="4" w:right="18" w:firstLine="0"/>
                      <w:jc w:val="center"/>
                      <w:rPr>
                        <w:sz w:val="22"/>
                      </w:rPr>
                    </w:pPr>
                    <w:r>
                      <w:rPr>
                        <w:color w:val="FFFFFF"/>
                        <w:sz w:val="22"/>
                      </w:rPr>
                      <w:t>and integrity advice</w:t>
                    </w:r>
                  </w:p>
                </w:txbxContent>
              </v:textbox>
              <w10:wrap type="none"/>
            </v:shape>
            <v:shape style="position:absolute;left:737;top:718;width:1820;height:1393" type="#_x0000_t202" filled="false" stroked="false">
              <v:textbox inset="0,0,0,0">
                <w:txbxContent>
                  <w:p>
                    <w:pPr>
                      <w:spacing w:before="0"/>
                      <w:ind w:left="0" w:right="0" w:firstLine="0"/>
                      <w:jc w:val="left"/>
                      <w:rPr>
                        <w:rFonts w:ascii="Gill Sans MT"/>
                        <w:sz w:val="120"/>
                      </w:rPr>
                    </w:pPr>
                    <w:r>
                      <w:rPr>
                        <w:rFonts w:ascii="Gill Sans MT"/>
                        <w:color w:val="FFFFFF"/>
                        <w:sz w:val="120"/>
                      </w:rPr>
                      <w:t>307</w:t>
                    </w:r>
                  </w:p>
                </w:txbxContent>
              </v:textbox>
              <w10:wrap type="none"/>
            </v:shape>
          </v:group>
        </w:pict>
      </w:r>
      <w:r>
        <w:rPr/>
      </w:r>
    </w:p>
    <w:p>
      <w:pPr>
        <w:pStyle w:val="BodyText"/>
        <w:spacing w:before="1"/>
        <w:rPr>
          <w:sz w:val="16"/>
        </w:rPr>
      </w:pPr>
      <w:r>
        <w:rPr/>
        <w:pict>
          <v:group style="position:absolute;margin-left:599.26001pt;margin-top:11.781399pt;width:178.05pt;height:74.55pt;mso-position-horizontal-relative:page;mso-position-vertical-relative:paragraph;z-index:-15720448;mso-wrap-distance-left:0;mso-wrap-distance-right:0" coordorigin="11985,236" coordsize="3561,1491">
            <v:shape style="position:absolute;left:15377;top:502;width:144;height:875" coordorigin="15377,503" coordsize="144,875" path="m15377,503l15433,509,15479,524,15510,548,15521,576,15521,1305,15510,1333,15479,1356,15433,1372,15377,1378e" filled="false" stroked="true" strokeweight="2.5pt" strokecolor="#71a276">
              <v:path arrowok="t"/>
              <v:stroke dashstyle="solid"/>
            </v:shape>
            <v:shape style="position:absolute;left:12007;top:1053;width:3356;height:653" type="#_x0000_t202" filled="false" stroked="true" strokeweight="2pt" strokecolor="#71a276">
              <v:textbox inset="0,0,0,0">
                <w:txbxContent>
                  <w:p>
                    <w:pPr>
                      <w:spacing w:line="219" w:lineRule="exact" w:before="60"/>
                      <w:ind w:left="58" w:right="0" w:firstLine="0"/>
                      <w:jc w:val="left"/>
                      <w:rPr>
                        <w:rFonts w:ascii="Calibri Light"/>
                        <w:b w:val="0"/>
                        <w:sz w:val="18"/>
                      </w:rPr>
                    </w:pPr>
                    <w:r>
                      <w:rPr>
                        <w:rFonts w:ascii="Calibri Light"/>
                        <w:b w:val="0"/>
                        <w:color w:val="71A276"/>
                        <w:sz w:val="18"/>
                      </w:rPr>
                      <w:t>57 Premier, Ministers or Assistant Ministers</w:t>
                    </w:r>
                  </w:p>
                  <w:p>
                    <w:pPr>
                      <w:spacing w:line="219" w:lineRule="exact" w:before="0"/>
                      <w:ind w:left="58" w:right="0" w:firstLine="0"/>
                      <w:jc w:val="left"/>
                      <w:rPr>
                        <w:rFonts w:ascii="Calibri Light"/>
                        <w:b w:val="0"/>
                        <w:sz w:val="18"/>
                      </w:rPr>
                    </w:pPr>
                    <w:r>
                      <w:rPr>
                        <w:rFonts w:ascii="Calibri Light"/>
                        <w:b w:val="0"/>
                        <w:color w:val="71A276"/>
                        <w:sz w:val="18"/>
                      </w:rPr>
                      <w:t>25 Other MPs</w:t>
                    </w:r>
                  </w:p>
                </w:txbxContent>
              </v:textbox>
              <v:stroke dashstyle="solid"/>
              <w10:wrap type="none"/>
            </v:shape>
            <v:shape style="position:absolute;left:11985;top:235;width:3407;height:512" type="#_x0000_t202" filled="true" fillcolor="#71a276" stroked="false">
              <v:textbox inset="0,0,0,0">
                <w:txbxContent>
                  <w:p>
                    <w:pPr>
                      <w:spacing w:before="116"/>
                      <w:ind w:left="133" w:right="0" w:firstLine="0"/>
                      <w:jc w:val="left"/>
                      <w:rPr>
                        <w:rFonts w:ascii="Calibri Light"/>
                        <w:b w:val="0"/>
                        <w:sz w:val="22"/>
                      </w:rPr>
                    </w:pPr>
                    <w:r>
                      <w:rPr>
                        <w:rFonts w:ascii="Calibri Light"/>
                        <w:b w:val="0"/>
                        <w:color w:val="FFFFFF"/>
                        <w:sz w:val="22"/>
                      </w:rPr>
                      <w:t>82 Member of Legislative Assembly</w:t>
                    </w:r>
                  </w:p>
                </w:txbxContent>
              </v:textbox>
              <v:fill type="solid"/>
              <w10:wrap type="none"/>
            </v:shape>
            <w10:wrap type="topAndBottom"/>
          </v:group>
        </w:pict>
      </w:r>
      <w:r>
        <w:rPr/>
        <w:pict>
          <v:shape style="position:absolute;margin-left:600.780029pt;margin-top:98.958397pt;width:169.8pt;height:25.05pt;mso-position-horizontal-relative:page;mso-position-vertical-relative:paragraph;z-index:-15719936;mso-wrap-distance-left:0;mso-wrap-distance-right:0" type="#_x0000_t202" filled="true" fillcolor="#71a276" stroked="false">
            <v:textbox inset="0,0,0,0">
              <w:txbxContent>
                <w:p>
                  <w:pPr>
                    <w:spacing w:before="120"/>
                    <w:ind w:left="98" w:right="0" w:firstLine="0"/>
                    <w:jc w:val="left"/>
                    <w:rPr>
                      <w:rFonts w:ascii="Calibri Light"/>
                      <w:b w:val="0"/>
                      <w:sz w:val="22"/>
                    </w:rPr>
                  </w:pPr>
                  <w:r>
                    <w:rPr>
                      <w:rFonts w:ascii="Calibri Light"/>
                      <w:b w:val="0"/>
                      <w:color w:val="FFFFFF"/>
                      <w:sz w:val="22"/>
                    </w:rPr>
                    <w:t>30 Statutory Office Holders</w:t>
                  </w:r>
                </w:p>
              </w:txbxContent>
            </v:textbox>
            <v:fill type="solid"/>
            <w10:wrap type="topAndBottom"/>
          </v:shape>
        </w:pict>
      </w:r>
      <w:r>
        <w:rPr/>
        <w:pict>
          <v:shape style="position:absolute;margin-left:599.929993pt;margin-top:142.498398pt;width:169.8pt;height:25.05pt;mso-position-horizontal-relative:page;mso-position-vertical-relative:paragraph;z-index:-15719424;mso-wrap-distance-left:0;mso-wrap-distance-right:0" type="#_x0000_t202" filled="true" fillcolor="#71a276" stroked="false">
            <v:textbox inset="0,0,0,0">
              <w:txbxContent>
                <w:p>
                  <w:pPr>
                    <w:spacing w:before="120"/>
                    <w:ind w:left="98" w:right="0" w:firstLine="0"/>
                    <w:jc w:val="left"/>
                    <w:rPr>
                      <w:rFonts w:ascii="Calibri Light"/>
                      <w:b w:val="0"/>
                      <w:sz w:val="22"/>
                    </w:rPr>
                  </w:pPr>
                  <w:r>
                    <w:rPr>
                      <w:rFonts w:ascii="Calibri Light"/>
                      <w:b w:val="0"/>
                      <w:color w:val="FFFFFF"/>
                      <w:sz w:val="22"/>
                    </w:rPr>
                    <w:t>40 Chief Executives</w:t>
                  </w:r>
                </w:p>
              </w:txbxContent>
            </v:textbox>
            <v:fill type="solid"/>
            <w10:wrap type="topAndBottom"/>
          </v:shape>
        </w:pict>
      </w:r>
      <w:r>
        <w:rPr/>
        <w:pict>
          <v:shape style="position:absolute;margin-left:598.609985pt;margin-top:181.791397pt;width:170.35pt;height:25.6pt;mso-position-horizontal-relative:page;mso-position-vertical-relative:paragraph;z-index:-15718912;mso-wrap-distance-left:0;mso-wrap-distance-right:0" type="#_x0000_t202" filled="true" fillcolor="#71a276" stroked="false">
            <v:textbox inset="0,0,0,0">
              <w:txbxContent>
                <w:p>
                  <w:pPr>
                    <w:spacing w:before="96"/>
                    <w:ind w:left="84" w:right="0" w:firstLine="0"/>
                    <w:jc w:val="left"/>
                    <w:rPr>
                      <w:rFonts w:ascii="Calibri Light"/>
                      <w:b w:val="0"/>
                      <w:sz w:val="22"/>
                    </w:rPr>
                  </w:pPr>
                  <w:r>
                    <w:rPr>
                      <w:rFonts w:ascii="Calibri Light"/>
                      <w:b w:val="0"/>
                      <w:color w:val="FFFFFF"/>
                      <w:sz w:val="22"/>
                    </w:rPr>
                    <w:t>25 Senior Executives/Officers</w:t>
                  </w:r>
                </w:p>
              </w:txbxContent>
            </v:textbox>
            <v:fill type="solid"/>
            <w10:wrap type="topAndBottom"/>
          </v:shape>
        </w:pict>
      </w:r>
      <w:r>
        <w:rPr/>
        <w:pict>
          <v:shape style="position:absolute;margin-left:598.609985pt;margin-top:224.291397pt;width:170.35pt;height:25.6pt;mso-position-horizontal-relative:page;mso-position-vertical-relative:paragraph;z-index:-15718400;mso-wrap-distance-left:0;mso-wrap-distance-right:0" type="#_x0000_t202" filled="true" fillcolor="#71a276" stroked="false">
            <v:textbox inset="0,0,0,0">
              <w:txbxContent>
                <w:p>
                  <w:pPr>
                    <w:spacing w:before="144"/>
                    <w:ind w:left="103" w:right="0" w:firstLine="0"/>
                    <w:jc w:val="left"/>
                    <w:rPr>
                      <w:rFonts w:ascii="Calibri Light"/>
                      <w:b w:val="0"/>
                      <w:sz w:val="22"/>
                    </w:rPr>
                  </w:pPr>
                  <w:r>
                    <w:rPr>
                      <w:rFonts w:ascii="Calibri Light"/>
                      <w:b w:val="0"/>
                      <w:color w:val="FFFFFF"/>
                      <w:sz w:val="22"/>
                    </w:rPr>
                    <w:t>13 Ministerial Staff</w:t>
                  </w:r>
                </w:p>
              </w:txbxContent>
            </v:textbox>
            <v:fill type="solid"/>
            <w10:wrap type="topAndBottom"/>
          </v:shape>
        </w:pict>
      </w:r>
      <w:r>
        <w:rPr/>
        <w:pict>
          <v:shape style="position:absolute;margin-left:598.609985pt;margin-top:266.79541pt;width:170.35pt;height:25.6pt;mso-position-horizontal-relative:page;mso-position-vertical-relative:paragraph;z-index:-15717888;mso-wrap-distance-left:0;mso-wrap-distance-right:0" type="#_x0000_t202" filled="true" fillcolor="#71a276" stroked="false">
            <v:textbox inset="0,0,0,0">
              <w:txbxContent>
                <w:p>
                  <w:pPr>
                    <w:spacing w:before="133"/>
                    <w:ind w:left="142" w:right="0" w:firstLine="0"/>
                    <w:jc w:val="left"/>
                    <w:rPr>
                      <w:rFonts w:ascii="Calibri Light"/>
                      <w:b w:val="0"/>
                      <w:sz w:val="22"/>
                    </w:rPr>
                  </w:pPr>
                  <w:r>
                    <w:rPr>
                      <w:rFonts w:ascii="Calibri Light"/>
                      <w:b w:val="0"/>
                      <w:color w:val="FFFFFF"/>
                      <w:sz w:val="22"/>
                    </w:rPr>
                    <w:t>111 Mayors/Councillors</w:t>
                  </w:r>
                </w:p>
              </w:txbxContent>
            </v:textbox>
            <v:fill type="solid"/>
            <w10:wrap type="topAndBottom"/>
          </v:shape>
        </w:pict>
      </w:r>
      <w:r>
        <w:rPr/>
        <w:pict>
          <v:shape style="position:absolute;margin-left:598.609985pt;margin-top:309.297394pt;width:170.35pt;height:25.6pt;mso-position-horizontal-relative:page;mso-position-vertical-relative:paragraph;z-index:-15717376;mso-wrap-distance-left:0;mso-wrap-distance-right:0" type="#_x0000_t202" filled="true" fillcolor="#71a276" stroked="false">
            <v:textbox inset="0,0,0,0">
              <w:txbxContent>
                <w:p>
                  <w:pPr>
                    <w:spacing w:before="129"/>
                    <w:ind w:left="158" w:right="0" w:firstLine="0"/>
                    <w:jc w:val="left"/>
                    <w:rPr>
                      <w:rFonts w:ascii="Calibri Light"/>
                      <w:b w:val="0"/>
                      <w:sz w:val="22"/>
                    </w:rPr>
                  </w:pPr>
                  <w:r>
                    <w:rPr>
                      <w:rFonts w:ascii="Calibri Light"/>
                      <w:b w:val="0"/>
                      <w:color w:val="FFFFFF"/>
                      <w:sz w:val="22"/>
                    </w:rPr>
                    <w:t>6 Former Designated Persons</w:t>
                  </w:r>
                </w:p>
              </w:txbxContent>
            </v:textbox>
            <v:fill type="solid"/>
            <w10:wrap type="topAndBottom"/>
          </v:shape>
        </w:pict>
      </w:r>
    </w:p>
    <w:p>
      <w:pPr>
        <w:pStyle w:val="BodyText"/>
        <w:spacing w:before="5"/>
        <w:rPr>
          <w:sz w:val="16"/>
        </w:rPr>
      </w:pPr>
    </w:p>
    <w:p>
      <w:pPr>
        <w:pStyle w:val="BodyText"/>
        <w:spacing w:before="1"/>
        <w:rPr>
          <w:sz w:val="27"/>
        </w:rPr>
      </w:pPr>
    </w:p>
    <w:p>
      <w:pPr>
        <w:pStyle w:val="BodyText"/>
        <w:spacing w:before="1"/>
      </w:pPr>
    </w:p>
    <w:p>
      <w:pPr>
        <w:pStyle w:val="BodyText"/>
        <w:spacing w:before="6"/>
        <w:rPr>
          <w:sz w:val="24"/>
        </w:rPr>
      </w:pPr>
    </w:p>
    <w:p>
      <w:pPr>
        <w:pStyle w:val="BodyText"/>
        <w:spacing w:before="6"/>
        <w:rPr>
          <w:sz w:val="24"/>
        </w:rPr>
      </w:pPr>
    </w:p>
    <w:p>
      <w:pPr>
        <w:pStyle w:val="BodyText"/>
        <w:spacing w:before="6"/>
        <w:rPr>
          <w:sz w:val="24"/>
        </w:rPr>
      </w:pPr>
    </w:p>
    <w:p>
      <w:pPr>
        <w:spacing w:after="0"/>
        <w:rPr>
          <w:sz w:val="24"/>
        </w:rPr>
        <w:sectPr>
          <w:pgSz w:w="16840" w:h="11910" w:orient="landscape"/>
          <w:pgMar w:header="0" w:footer="360" w:top="820" w:bottom="540" w:left="580" w:right="620"/>
          <w:cols w:num="2" w:equalWidth="0">
            <w:col w:w="10607" w:space="391"/>
            <w:col w:w="4642"/>
          </w:cols>
        </w:sectPr>
      </w:pPr>
    </w:p>
    <w:p>
      <w:pPr>
        <w:pStyle w:val="Heading2"/>
      </w:pPr>
      <w:r>
        <w:rPr>
          <w:color w:val="71A276"/>
          <w:w w:val="110"/>
        </w:rPr>
        <w:t>Advice on ethics, integrity, and interests Functions</w:t>
      </w:r>
    </w:p>
    <w:p>
      <w:pPr>
        <w:pStyle w:val="BodyText"/>
        <w:spacing w:before="10"/>
        <w:rPr>
          <w:b/>
          <w:sz w:val="14"/>
        </w:rPr>
      </w:pPr>
    </w:p>
    <w:p>
      <w:pPr>
        <w:spacing w:after="0"/>
        <w:rPr>
          <w:sz w:val="14"/>
        </w:rPr>
        <w:sectPr>
          <w:pgSz w:w="16840" w:h="11910" w:orient="landscape"/>
          <w:pgMar w:header="0" w:footer="360" w:top="820" w:bottom="540" w:left="580" w:right="620"/>
        </w:sectPr>
      </w:pPr>
    </w:p>
    <w:p>
      <w:pPr>
        <w:pStyle w:val="Heading5"/>
        <w:spacing w:before="56"/>
        <w:jc w:val="both"/>
      </w:pPr>
      <w:r>
        <w:rPr>
          <w:w w:val="110"/>
        </w:rPr>
        <w:t>Meetings with Members of the Legislative Assembly</w:t>
      </w:r>
    </w:p>
    <w:p>
      <w:pPr>
        <w:pStyle w:val="BodyText"/>
        <w:spacing w:line="276" w:lineRule="auto" w:before="159"/>
        <w:ind w:left="245" w:right="39"/>
        <w:jc w:val="both"/>
      </w:pPr>
      <w:r>
        <w:rPr/>
        <w:t>Advice to members of the Legislative Assembly can be provided under chapter 3, part 2 or pursuant to a meeting request under part 3 of the </w:t>
      </w:r>
      <w:r>
        <w:rPr>
          <w:i/>
        </w:rPr>
        <w:t>Integrity Act 2009</w:t>
      </w:r>
      <w:r>
        <w:rPr/>
        <w:t>, depending on the nature of the request.</w:t>
      </w:r>
    </w:p>
    <w:p>
      <w:pPr>
        <w:pStyle w:val="BodyText"/>
        <w:spacing w:line="276" w:lineRule="auto" w:before="120"/>
        <w:ind w:left="245" w:right="38"/>
        <w:jc w:val="both"/>
      </w:pPr>
      <w:r>
        <w:rPr/>
        <w:t>The Integrity Commissioner had 29 meetings under section 22 of the </w:t>
      </w:r>
      <w:r>
        <w:rPr>
          <w:i/>
        </w:rPr>
        <w:t>Integrity Act 2009</w:t>
      </w:r>
      <w:r>
        <w:rPr/>
        <w:t>, with a total of 21 written advices provided under chapter 3, part 3, following the meeting. For the remaining 8 meetings where oral advice only was provided, this was generally based on the view of the Integrity Commissioner that formal written advice was not necessary (section 23(2)).</w:t>
      </w:r>
    </w:p>
    <w:p>
      <w:pPr>
        <w:pStyle w:val="BodyText"/>
        <w:spacing w:line="276" w:lineRule="auto" w:before="121"/>
        <w:ind w:left="245" w:right="40"/>
        <w:jc w:val="both"/>
      </w:pPr>
      <w:r>
        <w:rPr/>
        <w:t>The Integrity Commissioner is committed to ensuring that, irrespective of location, members of the Legislative Assembly can seek a ‘meeting’ and advice when and as often as required. On that basis, the Integrity Commissioner does not limit the meaning of ‘meetings’ to merely face to face encounters, but also includes meetings that were convened via telephone or via online options such as ‘Microsoft</w:t>
      </w:r>
      <w:r>
        <w:rPr>
          <w:spacing w:val="-2"/>
        </w:rPr>
        <w:t> </w:t>
      </w:r>
      <w:r>
        <w:rPr/>
        <w:t>Teams’.</w:t>
      </w:r>
    </w:p>
    <w:p>
      <w:pPr>
        <w:pStyle w:val="BodyText"/>
        <w:spacing w:line="276" w:lineRule="auto" w:before="120"/>
        <w:ind w:left="245" w:right="47"/>
        <w:jc w:val="both"/>
      </w:pPr>
      <w:r>
        <w:rPr/>
        <w:t>The variety of modes of access became particularly important during the last quarter of the financial year due to COVID-19.</w:t>
      </w:r>
    </w:p>
    <w:p>
      <w:pPr>
        <w:pStyle w:val="BodyText"/>
      </w:pPr>
    </w:p>
    <w:p>
      <w:pPr>
        <w:pStyle w:val="BodyText"/>
        <w:spacing w:before="11"/>
        <w:rPr>
          <w:sz w:val="22"/>
        </w:rPr>
      </w:pPr>
    </w:p>
    <w:p>
      <w:pPr>
        <w:pStyle w:val="Heading5"/>
        <w:jc w:val="both"/>
      </w:pPr>
      <w:r>
        <w:rPr/>
        <w:t>Response Times</w:t>
      </w:r>
    </w:p>
    <w:p>
      <w:pPr>
        <w:pStyle w:val="BodyText"/>
        <w:spacing w:line="276" w:lineRule="auto" w:before="156"/>
        <w:ind w:left="245" w:right="42"/>
        <w:jc w:val="both"/>
      </w:pPr>
      <w:r>
        <w:rPr/>
        <w:t>The sustained significantly heightened demand for advice from the Integrity Commissioner, the inability of the Integrity Commissioner to delegate the advice function, and the increasing range and complexity of advice requests has led to an increase in the overall response times in comparison to previous years. Further, given the predicted future demands, pressures on response times are anticipated to continue.</w:t>
      </w:r>
    </w:p>
    <w:p>
      <w:pPr>
        <w:pStyle w:val="BodyText"/>
        <w:spacing w:before="121"/>
        <w:ind w:left="245"/>
        <w:jc w:val="both"/>
      </w:pPr>
      <w:r>
        <w:rPr/>
        <w:t>During the 2019-2020 financial year:</w:t>
      </w:r>
    </w:p>
    <w:p>
      <w:pPr>
        <w:pStyle w:val="ListParagraph"/>
        <w:numPr>
          <w:ilvl w:val="0"/>
          <w:numId w:val="3"/>
        </w:numPr>
        <w:tabs>
          <w:tab w:pos="605" w:val="left" w:leader="none"/>
          <w:tab w:pos="606" w:val="left" w:leader="none"/>
        </w:tabs>
        <w:spacing w:line="273" w:lineRule="auto" w:before="153" w:after="0"/>
        <w:ind w:left="605" w:right="44" w:hanging="360"/>
        <w:jc w:val="left"/>
        <w:rPr>
          <w:sz w:val="20"/>
        </w:rPr>
      </w:pPr>
      <w:r>
        <w:rPr>
          <w:sz w:val="20"/>
        </w:rPr>
        <w:t>25% of all advice requests were met with formal advice from the Integrity Commissioner within one business</w:t>
      </w:r>
      <w:r>
        <w:rPr>
          <w:spacing w:val="-2"/>
          <w:sz w:val="20"/>
        </w:rPr>
        <w:t> </w:t>
      </w:r>
      <w:r>
        <w:rPr>
          <w:sz w:val="20"/>
        </w:rPr>
        <w:t>day</w:t>
      </w:r>
    </w:p>
    <w:p>
      <w:pPr>
        <w:pStyle w:val="ListParagraph"/>
        <w:numPr>
          <w:ilvl w:val="0"/>
          <w:numId w:val="3"/>
        </w:numPr>
        <w:tabs>
          <w:tab w:pos="605" w:val="left" w:leader="none"/>
          <w:tab w:pos="606" w:val="left" w:leader="none"/>
        </w:tabs>
        <w:spacing w:line="240" w:lineRule="auto" w:before="121" w:after="0"/>
        <w:ind w:left="605" w:right="0" w:hanging="361"/>
        <w:jc w:val="left"/>
        <w:rPr>
          <w:sz w:val="20"/>
        </w:rPr>
      </w:pPr>
      <w:r>
        <w:rPr>
          <w:sz w:val="20"/>
        </w:rPr>
        <w:t>20% received formal advice within three business</w:t>
      </w:r>
      <w:r>
        <w:rPr>
          <w:spacing w:val="-9"/>
          <w:sz w:val="20"/>
        </w:rPr>
        <w:t> </w:t>
      </w:r>
      <w:r>
        <w:rPr>
          <w:sz w:val="20"/>
        </w:rPr>
        <w:t>days</w:t>
      </w:r>
    </w:p>
    <w:p>
      <w:pPr>
        <w:pStyle w:val="ListParagraph"/>
        <w:numPr>
          <w:ilvl w:val="0"/>
          <w:numId w:val="3"/>
        </w:numPr>
        <w:tabs>
          <w:tab w:pos="605" w:val="left" w:leader="none"/>
          <w:tab w:pos="606" w:val="left" w:leader="none"/>
        </w:tabs>
        <w:spacing w:line="240" w:lineRule="auto" w:before="154" w:after="0"/>
        <w:ind w:left="605" w:right="0" w:hanging="361"/>
        <w:jc w:val="left"/>
        <w:rPr>
          <w:sz w:val="20"/>
        </w:rPr>
      </w:pPr>
      <w:r>
        <w:rPr>
          <w:sz w:val="20"/>
        </w:rPr>
        <w:t>18% received formal advice within four to five business days,</w:t>
      </w:r>
      <w:r>
        <w:rPr>
          <w:spacing w:val="-12"/>
          <w:sz w:val="20"/>
        </w:rPr>
        <w:t> </w:t>
      </w:r>
      <w:r>
        <w:rPr>
          <w:sz w:val="20"/>
        </w:rPr>
        <w:t>and</w:t>
      </w:r>
    </w:p>
    <w:p>
      <w:pPr>
        <w:pStyle w:val="ListParagraph"/>
        <w:numPr>
          <w:ilvl w:val="0"/>
          <w:numId w:val="3"/>
        </w:numPr>
        <w:tabs>
          <w:tab w:pos="605" w:val="left" w:leader="none"/>
          <w:tab w:pos="606" w:val="left" w:leader="none"/>
        </w:tabs>
        <w:spacing w:line="240" w:lineRule="auto" w:before="153" w:after="0"/>
        <w:ind w:left="605" w:right="0" w:hanging="361"/>
        <w:jc w:val="left"/>
        <w:rPr>
          <w:sz w:val="20"/>
        </w:rPr>
      </w:pPr>
      <w:r>
        <w:rPr>
          <w:sz w:val="20"/>
        </w:rPr>
        <w:t>a further 23% received formal advice within six to nine business</w:t>
      </w:r>
      <w:r>
        <w:rPr>
          <w:spacing w:val="-9"/>
          <w:sz w:val="20"/>
        </w:rPr>
        <w:t> </w:t>
      </w:r>
      <w:r>
        <w:rPr>
          <w:sz w:val="20"/>
        </w:rPr>
        <w:t>days.</w:t>
      </w:r>
    </w:p>
    <w:p>
      <w:pPr>
        <w:pStyle w:val="BodyText"/>
        <w:spacing w:before="7"/>
        <w:rPr>
          <w:sz w:val="18"/>
        </w:rPr>
      </w:pPr>
      <w:r>
        <w:rPr/>
        <w:br w:type="column"/>
      </w:r>
      <w:r>
        <w:rPr>
          <w:sz w:val="18"/>
        </w:rPr>
      </w:r>
    </w:p>
    <w:p>
      <w:pPr>
        <w:pStyle w:val="BodyText"/>
        <w:spacing w:line="276" w:lineRule="auto"/>
        <w:ind w:left="245" w:right="161"/>
        <w:jc w:val="both"/>
      </w:pPr>
      <w:r>
        <w:rPr/>
        <w:t>The remaining 14% of advice requests, were dealt with in 10 or more business days and generally related to post-separation matters, or very complex matters requiring further inquiries to be made.</w:t>
      </w:r>
    </w:p>
    <w:p>
      <w:pPr>
        <w:pStyle w:val="BodyText"/>
        <w:spacing w:line="276" w:lineRule="auto" w:before="120"/>
        <w:ind w:left="245" w:right="154"/>
        <w:jc w:val="both"/>
      </w:pPr>
      <w:r>
        <w:rPr/>
        <w:t>The Integrity Commissioner prioritises all advice requests on the basis of public interest and risks to the public, therefore, advices are not dealt with on a ‘first come–first served’ basis.</w:t>
      </w:r>
    </w:p>
    <w:p>
      <w:pPr>
        <w:pStyle w:val="BodyText"/>
        <w:spacing w:line="276" w:lineRule="auto" w:before="121"/>
        <w:ind w:left="245" w:right="161"/>
        <w:jc w:val="both"/>
      </w:pPr>
      <w:r>
        <w:rPr/>
        <w:t>Further, often the work of the Integrity Commissioner involves dealing with urgent matters that arise and must be appropriately dealt with before a meeting in which a relevant decision will be made, for example a meeting of a Board, a Council, or of Cabinet. The work of the Integrity Commissioner, therefore, is not limited to weekdays. Weekend work is a common occurrence. Notably, this financial year approximately 27% of all advice requests were received on a Saturday or Sunday, of which a number required advice to be provided urgently and in time for a meeting occurring early in the proceeding work week. This is an increase on the 12% of requests that were received out of hours last financial year.</w:t>
      </w:r>
    </w:p>
    <w:p>
      <w:pPr>
        <w:pStyle w:val="BodyText"/>
        <w:spacing w:before="120"/>
        <w:ind w:left="245"/>
        <w:jc w:val="both"/>
      </w:pPr>
      <w:r>
        <w:rPr/>
        <w:t>Given predicted future demands, pressures on response times are anticipated to continue.</w:t>
      </w:r>
    </w:p>
    <w:p>
      <w:pPr>
        <w:pStyle w:val="BodyText"/>
      </w:pPr>
    </w:p>
    <w:p>
      <w:pPr>
        <w:pStyle w:val="BodyText"/>
        <w:spacing w:before="6"/>
        <w:rPr>
          <w:sz w:val="17"/>
        </w:rPr>
      </w:pPr>
    </w:p>
    <w:p>
      <w:pPr>
        <w:spacing w:before="0"/>
        <w:ind w:left="3158" w:right="2783" w:firstLine="0"/>
        <w:jc w:val="center"/>
        <w:rPr>
          <w:sz w:val="28"/>
        </w:rPr>
      </w:pPr>
      <w:r>
        <w:rPr/>
        <w:drawing>
          <wp:anchor distT="0" distB="0" distL="0" distR="0" allowOverlap="1" layoutInCell="1" locked="0" behindDoc="0" simplePos="0" relativeHeight="15740416">
            <wp:simplePos x="0" y="0"/>
            <wp:positionH relativeFrom="page">
              <wp:posOffset>6561408</wp:posOffset>
            </wp:positionH>
            <wp:positionV relativeFrom="paragraph">
              <wp:posOffset>448510</wp:posOffset>
            </wp:positionV>
            <wp:extent cx="2761514" cy="2399579"/>
            <wp:effectExtent l="0" t="0" r="0" b="0"/>
            <wp:wrapNone/>
            <wp:docPr id="39" name="image29.jpeg"/>
            <wp:cNvGraphicFramePr>
              <a:graphicFrameLocks noChangeAspect="1"/>
            </wp:cNvGraphicFramePr>
            <a:graphic>
              <a:graphicData uri="http://schemas.openxmlformats.org/drawingml/2006/picture">
                <pic:pic>
                  <pic:nvPicPr>
                    <pic:cNvPr id="40" name="image29.jpeg"/>
                    <pic:cNvPicPr/>
                  </pic:nvPicPr>
                  <pic:blipFill>
                    <a:blip r:embed="rId36" cstate="print"/>
                    <a:stretch>
                      <a:fillRect/>
                    </a:stretch>
                  </pic:blipFill>
                  <pic:spPr>
                    <a:xfrm>
                      <a:off x="0" y="0"/>
                      <a:ext cx="2761514" cy="2399579"/>
                    </a:xfrm>
                    <a:prstGeom prst="rect">
                      <a:avLst/>
                    </a:prstGeom>
                  </pic:spPr>
                </pic:pic>
              </a:graphicData>
            </a:graphic>
          </wp:anchor>
        </w:drawing>
      </w:r>
      <w:r>
        <w:rPr>
          <w:color w:val="71A276"/>
          <w:sz w:val="28"/>
        </w:rPr>
        <w:t>Response Times</w:t>
      </w:r>
    </w:p>
    <w:p>
      <w:pPr>
        <w:spacing w:after="0"/>
        <w:jc w:val="center"/>
        <w:rPr>
          <w:sz w:val="28"/>
        </w:rPr>
        <w:sectPr>
          <w:type w:val="continuous"/>
          <w:pgSz w:w="16840" w:h="11910" w:orient="landscape"/>
          <w:pgMar w:top="1100" w:bottom="280" w:left="580" w:right="620"/>
          <w:cols w:num="2" w:equalWidth="0">
            <w:col w:w="7640" w:space="190"/>
            <w:col w:w="7810"/>
          </w:cols>
        </w:sectPr>
      </w:pPr>
    </w:p>
    <w:p>
      <w:pPr>
        <w:pStyle w:val="Heading2"/>
      </w:pPr>
      <w:r>
        <w:rPr>
          <w:color w:val="71A276"/>
          <w:w w:val="110"/>
        </w:rPr>
        <w:t>Advice on ethics, integrity, and interests Functions</w:t>
      </w:r>
    </w:p>
    <w:p>
      <w:pPr>
        <w:pStyle w:val="Heading5"/>
        <w:spacing w:before="237"/>
      </w:pPr>
      <w:r>
        <w:rPr>
          <w:w w:val="110"/>
        </w:rPr>
        <w:t>Number of Requests</w:t>
      </w:r>
    </w:p>
    <w:p>
      <w:pPr>
        <w:pStyle w:val="BodyText"/>
        <w:spacing w:line="300" w:lineRule="auto" w:before="139"/>
        <w:ind w:left="245"/>
      </w:pPr>
      <w:r>
        <w:rPr/>
        <w:t>This financial year, the Integrity Commissioner received 307 formal requests for advice about ethics, integrity, and post-separation matters.</w:t>
      </w:r>
    </w:p>
    <w:p>
      <w:pPr>
        <w:pStyle w:val="BodyText"/>
        <w:spacing w:before="81"/>
        <w:ind w:left="245"/>
      </w:pPr>
      <w:r>
        <w:rPr/>
        <w:t>The Integrity Commissioner provided 196 formal advices in response.</w:t>
      </w:r>
    </w:p>
    <w:p>
      <w:pPr>
        <w:pStyle w:val="BodyText"/>
        <w:spacing w:line="300" w:lineRule="auto" w:before="140"/>
        <w:ind w:left="245"/>
      </w:pPr>
      <w:r>
        <w:rPr/>
        <w:t>Of the advices provided, 82 were provided to members of the Legislative Assembly, of which:</w:t>
      </w:r>
    </w:p>
    <w:p>
      <w:pPr>
        <w:pStyle w:val="ListParagraph"/>
        <w:numPr>
          <w:ilvl w:val="0"/>
          <w:numId w:val="3"/>
        </w:numPr>
        <w:tabs>
          <w:tab w:pos="605" w:val="left" w:leader="none"/>
          <w:tab w:pos="606" w:val="left" w:leader="none"/>
        </w:tabs>
        <w:spacing w:line="240" w:lineRule="auto" w:before="78" w:after="0"/>
        <w:ind w:left="605" w:right="0" w:hanging="361"/>
        <w:jc w:val="left"/>
        <w:rPr>
          <w:sz w:val="20"/>
        </w:rPr>
      </w:pPr>
      <w:r>
        <w:rPr>
          <w:sz w:val="20"/>
        </w:rPr>
        <w:t>61</w:t>
      </w:r>
      <w:r>
        <w:rPr>
          <w:spacing w:val="7"/>
          <w:sz w:val="20"/>
        </w:rPr>
        <w:t> </w:t>
      </w:r>
      <w:r>
        <w:rPr>
          <w:sz w:val="20"/>
        </w:rPr>
        <w:t>were</w:t>
      </w:r>
      <w:r>
        <w:rPr>
          <w:spacing w:val="7"/>
          <w:sz w:val="20"/>
        </w:rPr>
        <w:t> </w:t>
      </w:r>
      <w:r>
        <w:rPr>
          <w:sz w:val="20"/>
        </w:rPr>
        <w:t>provided</w:t>
      </w:r>
      <w:r>
        <w:rPr>
          <w:spacing w:val="8"/>
          <w:sz w:val="20"/>
        </w:rPr>
        <w:t> </w:t>
      </w:r>
      <w:r>
        <w:rPr>
          <w:sz w:val="20"/>
        </w:rPr>
        <w:t>pursuant</w:t>
      </w:r>
      <w:r>
        <w:rPr>
          <w:spacing w:val="8"/>
          <w:sz w:val="20"/>
        </w:rPr>
        <w:t> </w:t>
      </w:r>
      <w:r>
        <w:rPr>
          <w:sz w:val="20"/>
        </w:rPr>
        <w:t>to</w:t>
      </w:r>
      <w:r>
        <w:rPr>
          <w:spacing w:val="8"/>
          <w:sz w:val="20"/>
        </w:rPr>
        <w:t> </w:t>
      </w:r>
      <w:r>
        <w:rPr>
          <w:sz w:val="20"/>
        </w:rPr>
        <w:t>written</w:t>
      </w:r>
      <w:r>
        <w:rPr>
          <w:spacing w:val="8"/>
          <w:sz w:val="20"/>
        </w:rPr>
        <w:t> </w:t>
      </w:r>
      <w:r>
        <w:rPr>
          <w:sz w:val="20"/>
        </w:rPr>
        <w:t>requests</w:t>
      </w:r>
      <w:r>
        <w:rPr>
          <w:spacing w:val="7"/>
          <w:sz w:val="20"/>
        </w:rPr>
        <w:t> </w:t>
      </w:r>
      <w:r>
        <w:rPr>
          <w:sz w:val="20"/>
        </w:rPr>
        <w:t>under</w:t>
      </w:r>
      <w:r>
        <w:rPr>
          <w:spacing w:val="10"/>
          <w:sz w:val="20"/>
        </w:rPr>
        <w:t> </w:t>
      </w:r>
      <w:r>
        <w:rPr>
          <w:sz w:val="20"/>
        </w:rPr>
        <w:t>chapter</w:t>
      </w:r>
      <w:r>
        <w:rPr>
          <w:spacing w:val="8"/>
          <w:sz w:val="20"/>
        </w:rPr>
        <w:t> </w:t>
      </w:r>
      <w:r>
        <w:rPr>
          <w:sz w:val="20"/>
        </w:rPr>
        <w:t>3,</w:t>
      </w:r>
      <w:r>
        <w:rPr>
          <w:spacing w:val="8"/>
          <w:sz w:val="20"/>
        </w:rPr>
        <w:t> </w:t>
      </w:r>
      <w:r>
        <w:rPr>
          <w:sz w:val="20"/>
        </w:rPr>
        <w:t>part</w:t>
      </w:r>
      <w:r>
        <w:rPr>
          <w:spacing w:val="8"/>
          <w:sz w:val="20"/>
        </w:rPr>
        <w:t> </w:t>
      </w:r>
      <w:r>
        <w:rPr>
          <w:sz w:val="20"/>
        </w:rPr>
        <w:t>2</w:t>
      </w:r>
      <w:r>
        <w:rPr>
          <w:spacing w:val="8"/>
          <w:sz w:val="20"/>
        </w:rPr>
        <w:t> </w:t>
      </w:r>
      <w:r>
        <w:rPr>
          <w:sz w:val="20"/>
        </w:rPr>
        <w:t>of</w:t>
      </w:r>
      <w:r>
        <w:rPr>
          <w:spacing w:val="7"/>
          <w:sz w:val="20"/>
        </w:rPr>
        <w:t> </w:t>
      </w:r>
      <w:r>
        <w:rPr>
          <w:sz w:val="20"/>
        </w:rPr>
        <w:t>the</w:t>
      </w:r>
    </w:p>
    <w:p>
      <w:pPr>
        <w:spacing w:before="58"/>
        <w:ind w:left="605" w:right="0" w:firstLine="0"/>
        <w:jc w:val="left"/>
        <w:rPr>
          <w:sz w:val="20"/>
        </w:rPr>
      </w:pPr>
      <w:r>
        <w:rPr>
          <w:i/>
          <w:sz w:val="20"/>
        </w:rPr>
        <w:t>Integrity Act 2009</w:t>
      </w:r>
      <w:r>
        <w:rPr>
          <w:sz w:val="20"/>
        </w:rPr>
        <w:t>, and</w:t>
      </w:r>
    </w:p>
    <w:p>
      <w:pPr>
        <w:pStyle w:val="ListParagraph"/>
        <w:numPr>
          <w:ilvl w:val="0"/>
          <w:numId w:val="3"/>
        </w:numPr>
        <w:tabs>
          <w:tab w:pos="605" w:val="left" w:leader="none"/>
          <w:tab w:pos="606" w:val="left" w:leader="none"/>
        </w:tabs>
        <w:spacing w:line="240" w:lineRule="auto" w:before="139" w:after="0"/>
        <w:ind w:left="605" w:right="0" w:hanging="361"/>
        <w:jc w:val="left"/>
        <w:rPr>
          <w:sz w:val="20"/>
        </w:rPr>
      </w:pPr>
      <w:r>
        <w:rPr>
          <w:sz w:val="20"/>
        </w:rPr>
        <w:t>21 advices arose from meetings held with members of the Legislative</w:t>
      </w:r>
      <w:r>
        <w:rPr>
          <w:spacing w:val="-21"/>
          <w:sz w:val="20"/>
        </w:rPr>
        <w:t> </w:t>
      </w:r>
      <w:r>
        <w:rPr>
          <w:sz w:val="20"/>
        </w:rPr>
        <w:t>Assembly.</w:t>
      </w:r>
    </w:p>
    <w:p>
      <w:pPr>
        <w:pStyle w:val="BodyText"/>
      </w:pPr>
      <w:r>
        <w:rPr/>
        <w:br w:type="column"/>
      </w:r>
      <w:r>
        <w:rPr/>
      </w:r>
    </w:p>
    <w:p>
      <w:pPr>
        <w:pStyle w:val="BodyText"/>
        <w:spacing w:before="8"/>
        <w:rPr>
          <w:sz w:val="28"/>
        </w:rPr>
      </w:pPr>
    </w:p>
    <w:p>
      <w:pPr>
        <w:pStyle w:val="BodyText"/>
        <w:spacing w:line="276" w:lineRule="auto"/>
        <w:ind w:left="245" w:right="162"/>
        <w:jc w:val="both"/>
      </w:pPr>
      <w:r>
        <w:rPr/>
        <w:t>Of the remaining 111 of the 307 advice requests received and which were not met with formal advice from the Integrity Commissioner:</w:t>
      </w:r>
    </w:p>
    <w:p>
      <w:pPr>
        <w:pStyle w:val="ListParagraph"/>
        <w:numPr>
          <w:ilvl w:val="0"/>
          <w:numId w:val="3"/>
        </w:numPr>
        <w:tabs>
          <w:tab w:pos="605" w:val="left" w:leader="none"/>
          <w:tab w:pos="606" w:val="left" w:leader="none"/>
        </w:tabs>
        <w:spacing w:line="240" w:lineRule="auto" w:before="116" w:after="0"/>
        <w:ind w:left="606" w:right="0" w:hanging="361"/>
        <w:jc w:val="left"/>
        <w:rPr>
          <w:sz w:val="20"/>
        </w:rPr>
      </w:pPr>
      <w:r>
        <w:rPr>
          <w:sz w:val="20"/>
        </w:rPr>
        <w:t>34 requests were dealt with by preliminary oral or written opinion</w:t>
      </w:r>
      <w:r>
        <w:rPr>
          <w:spacing w:val="-8"/>
          <w:sz w:val="20"/>
        </w:rPr>
        <w:t> </w:t>
      </w:r>
      <w:r>
        <w:rPr>
          <w:sz w:val="20"/>
        </w:rPr>
        <w:t>only</w:t>
      </w:r>
    </w:p>
    <w:p>
      <w:pPr>
        <w:pStyle w:val="ListParagraph"/>
        <w:numPr>
          <w:ilvl w:val="0"/>
          <w:numId w:val="3"/>
        </w:numPr>
        <w:tabs>
          <w:tab w:pos="605" w:val="left" w:leader="none"/>
          <w:tab w:pos="606" w:val="left" w:leader="none"/>
        </w:tabs>
        <w:spacing w:line="240" w:lineRule="auto" w:before="94" w:after="0"/>
        <w:ind w:left="606" w:right="0" w:hanging="361"/>
        <w:jc w:val="left"/>
        <w:rPr>
          <w:sz w:val="20"/>
        </w:rPr>
      </w:pPr>
      <w:r>
        <w:rPr>
          <w:sz w:val="20"/>
        </w:rPr>
        <w:t>68 requests were referred to the most appropriate agency,</w:t>
      </w:r>
      <w:r>
        <w:rPr>
          <w:spacing w:val="-6"/>
          <w:sz w:val="20"/>
        </w:rPr>
        <w:t> </w:t>
      </w:r>
      <w:r>
        <w:rPr>
          <w:sz w:val="20"/>
        </w:rPr>
        <w:t>and</w:t>
      </w:r>
    </w:p>
    <w:p>
      <w:pPr>
        <w:pStyle w:val="ListParagraph"/>
        <w:numPr>
          <w:ilvl w:val="0"/>
          <w:numId w:val="3"/>
        </w:numPr>
        <w:tabs>
          <w:tab w:pos="605" w:val="left" w:leader="none"/>
          <w:tab w:pos="606" w:val="left" w:leader="none"/>
        </w:tabs>
        <w:spacing w:line="240" w:lineRule="auto" w:before="93" w:after="0"/>
        <w:ind w:left="606" w:right="0" w:hanging="361"/>
        <w:jc w:val="left"/>
        <w:rPr>
          <w:sz w:val="20"/>
        </w:rPr>
      </w:pPr>
      <w:r>
        <w:rPr>
          <w:sz w:val="20"/>
        </w:rPr>
        <w:t>9 requests were</w:t>
      </w:r>
      <w:r>
        <w:rPr>
          <w:spacing w:val="-2"/>
          <w:sz w:val="20"/>
        </w:rPr>
        <w:t> </w:t>
      </w:r>
      <w:r>
        <w:rPr>
          <w:sz w:val="20"/>
        </w:rPr>
        <w:t>withdrawn.</w:t>
      </w:r>
    </w:p>
    <w:p>
      <w:pPr>
        <w:pStyle w:val="BodyText"/>
        <w:spacing w:line="300" w:lineRule="auto" w:before="156"/>
        <w:ind w:left="245" w:right="160"/>
        <w:jc w:val="both"/>
      </w:pPr>
      <w:r>
        <w:rPr/>
        <w:t>As shown below, greater expectations from the public, a greater commitment to ethics and integrity by those responsible to the public, and heightened ethical awareness more generally have led to a sustained level of demand for services provided by the commission over the three years of the current Integrity Commissioner</w:t>
      </w:r>
      <w:r>
        <w:rPr>
          <w:spacing w:val="-7"/>
        </w:rPr>
        <w:t> </w:t>
      </w:r>
      <w:r>
        <w:rPr/>
        <w:t>tenure.</w:t>
      </w:r>
    </w:p>
    <w:p>
      <w:pPr>
        <w:spacing w:after="0" w:line="300" w:lineRule="auto"/>
        <w:jc w:val="both"/>
        <w:sectPr>
          <w:pgSz w:w="16840" w:h="11910" w:orient="landscape"/>
          <w:pgMar w:header="0" w:footer="360" w:top="820" w:bottom="540" w:left="580" w:right="620"/>
          <w:cols w:num="2" w:equalWidth="0">
            <w:col w:w="7635" w:space="211"/>
            <w:col w:w="7794"/>
          </w:cols>
        </w:sectPr>
      </w:pPr>
    </w:p>
    <w:p>
      <w:pPr>
        <w:pStyle w:val="BodyText"/>
      </w:pPr>
    </w:p>
    <w:p>
      <w:pPr>
        <w:pStyle w:val="BodyText"/>
      </w:pPr>
    </w:p>
    <w:p>
      <w:pPr>
        <w:pStyle w:val="BodyText"/>
      </w:pPr>
    </w:p>
    <w:p>
      <w:pPr>
        <w:pStyle w:val="BodyText"/>
      </w:pPr>
    </w:p>
    <w:p>
      <w:pPr>
        <w:pStyle w:val="BodyText"/>
      </w:pPr>
    </w:p>
    <w:p>
      <w:pPr>
        <w:pStyle w:val="BodyText"/>
        <w:spacing w:before="1"/>
        <w:rPr>
          <w:sz w:val="15"/>
        </w:rPr>
      </w:pPr>
    </w:p>
    <w:p>
      <w:pPr>
        <w:spacing w:before="44"/>
        <w:ind w:left="3799" w:right="4185" w:firstLine="0"/>
        <w:jc w:val="center"/>
        <w:rPr>
          <w:sz w:val="28"/>
        </w:rPr>
      </w:pPr>
      <w:r>
        <w:rPr/>
        <w:pict>
          <v:shape style="position:absolute;margin-left:40.520pt;margin-top:53.635925pt;width:13.05pt;height:100.35pt;mso-position-horizontal-relative:page;mso-position-vertical-relative:paragraph;z-index:15741440" type="#_x0000_t202" filled="false" stroked="false">
            <v:textbox inset="0,0,0,0" style="layout-flow:vertical;mso-layout-flow-alt:bottom-to-top">
              <w:txbxContent>
                <w:p>
                  <w:pPr>
                    <w:spacing w:line="245" w:lineRule="exact" w:before="0"/>
                    <w:ind w:left="20" w:right="0" w:firstLine="0"/>
                    <w:jc w:val="left"/>
                    <w:rPr>
                      <w:b/>
                      <w:sz w:val="22"/>
                    </w:rPr>
                  </w:pPr>
                  <w:r>
                    <w:rPr>
                      <w:b/>
                      <w:color w:val="71A276"/>
                      <w:w w:val="105"/>
                      <w:sz w:val="22"/>
                    </w:rPr>
                    <w:t>Number of Requests</w:t>
                  </w:r>
                </w:p>
              </w:txbxContent>
            </v:textbox>
            <w10:wrap type="none"/>
          </v:shape>
        </w:pict>
      </w:r>
      <w:r>
        <w:rPr>
          <w:color w:val="71A276"/>
          <w:w w:val="110"/>
          <w:sz w:val="28"/>
        </w:rPr>
        <w:t>Number of requests – All years of the integrity commissioner</w:t>
      </w:r>
    </w:p>
    <w:p>
      <w:pPr>
        <w:pStyle w:val="BodyText"/>
      </w:pPr>
    </w:p>
    <w:p>
      <w:pPr>
        <w:pStyle w:val="BodyText"/>
        <w:spacing w:before="10"/>
        <w:rPr>
          <w:sz w:val="22"/>
        </w:rPr>
      </w:pPr>
      <w:r>
        <w:rPr/>
        <w:drawing>
          <wp:anchor distT="0" distB="0" distL="0" distR="0" allowOverlap="1" layoutInCell="1" locked="0" behindDoc="0" simplePos="0" relativeHeight="24">
            <wp:simplePos x="0" y="0"/>
            <wp:positionH relativeFrom="page">
              <wp:posOffset>764392</wp:posOffset>
            </wp:positionH>
            <wp:positionV relativeFrom="paragraph">
              <wp:posOffset>201844</wp:posOffset>
            </wp:positionV>
            <wp:extent cx="9312195" cy="2088261"/>
            <wp:effectExtent l="0" t="0" r="0" b="0"/>
            <wp:wrapTopAndBottom/>
            <wp:docPr id="41" name="image30.png"/>
            <wp:cNvGraphicFramePr>
              <a:graphicFrameLocks noChangeAspect="1"/>
            </wp:cNvGraphicFramePr>
            <a:graphic>
              <a:graphicData uri="http://schemas.openxmlformats.org/drawingml/2006/picture">
                <pic:pic>
                  <pic:nvPicPr>
                    <pic:cNvPr id="42" name="image30.png"/>
                    <pic:cNvPicPr/>
                  </pic:nvPicPr>
                  <pic:blipFill>
                    <a:blip r:embed="rId37" cstate="print"/>
                    <a:stretch>
                      <a:fillRect/>
                    </a:stretch>
                  </pic:blipFill>
                  <pic:spPr>
                    <a:xfrm>
                      <a:off x="0" y="0"/>
                      <a:ext cx="9312195" cy="2088261"/>
                    </a:xfrm>
                    <a:prstGeom prst="rect">
                      <a:avLst/>
                    </a:prstGeom>
                  </pic:spPr>
                </pic:pic>
              </a:graphicData>
            </a:graphic>
          </wp:anchor>
        </w:drawing>
      </w:r>
    </w:p>
    <w:p>
      <w:pPr>
        <w:spacing w:before="171"/>
        <w:ind w:left="3799" w:right="3951" w:firstLine="0"/>
        <w:jc w:val="center"/>
        <w:rPr>
          <w:b/>
          <w:sz w:val="22"/>
        </w:rPr>
      </w:pPr>
      <w:r>
        <w:rPr>
          <w:b/>
          <w:color w:val="71A276"/>
          <w:w w:val="110"/>
          <w:sz w:val="22"/>
        </w:rPr>
        <w:t>Reporting Years</w:t>
      </w:r>
    </w:p>
    <w:p>
      <w:pPr>
        <w:spacing w:after="0"/>
        <w:jc w:val="center"/>
        <w:rPr>
          <w:sz w:val="22"/>
        </w:rPr>
        <w:sectPr>
          <w:type w:val="continuous"/>
          <w:pgSz w:w="16840" w:h="11910" w:orient="landscape"/>
          <w:pgMar w:top="1100" w:bottom="280" w:left="580" w:right="620"/>
        </w:sectPr>
      </w:pPr>
    </w:p>
    <w:p>
      <w:pPr>
        <w:spacing w:before="85"/>
        <w:ind w:left="245" w:right="0" w:firstLine="0"/>
        <w:jc w:val="both"/>
        <w:rPr>
          <w:rFonts w:ascii="Gill Sans MT"/>
          <w:b/>
          <w:sz w:val="25"/>
        </w:rPr>
      </w:pPr>
      <w:r>
        <w:rPr>
          <w:rFonts w:ascii="Gill Sans MT"/>
          <w:b/>
          <w:color w:val="71A276"/>
          <w:w w:val="105"/>
          <w:sz w:val="32"/>
        </w:rPr>
        <w:t>L</w:t>
      </w:r>
      <w:r>
        <w:rPr>
          <w:rFonts w:ascii="Gill Sans MT"/>
          <w:b/>
          <w:color w:val="71A276"/>
          <w:w w:val="105"/>
          <w:sz w:val="25"/>
        </w:rPr>
        <w:t>OBBYISTS FUNCTION</w:t>
      </w:r>
    </w:p>
    <w:p>
      <w:pPr>
        <w:pStyle w:val="BodyText"/>
        <w:spacing w:line="276" w:lineRule="auto" w:before="202"/>
        <w:ind w:left="245" w:right="41"/>
        <w:jc w:val="both"/>
      </w:pPr>
      <w:r>
        <w:rPr/>
        <w:t>Section 7(1)(c) of the </w:t>
      </w:r>
      <w:r>
        <w:rPr>
          <w:i/>
        </w:rPr>
        <w:t>Integrity Act 2009 </w:t>
      </w:r>
      <w:r>
        <w:rPr/>
        <w:t>states that it is a function of the Integrity Commissioner to keep the lobbyists register and have responsibility for the registration of lobbyists.</w:t>
      </w:r>
    </w:p>
    <w:p>
      <w:pPr>
        <w:pStyle w:val="BodyText"/>
        <w:spacing w:line="276" w:lineRule="auto" w:before="120"/>
        <w:ind w:left="245" w:right="38"/>
        <w:jc w:val="both"/>
      </w:pPr>
      <w:r>
        <w:rPr/>
        <w:t>Since 2010, the Integrity Commissioner has been responsible for administering the regulation of lobbying activities under the </w:t>
      </w:r>
      <w:r>
        <w:rPr>
          <w:i/>
        </w:rPr>
        <w:t>Integrity Act 2009</w:t>
      </w:r>
      <w:r>
        <w:rPr/>
        <w:t>. This involves the maintenance of the lobbyists register.</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31"/>
        </w:rPr>
      </w:pPr>
    </w:p>
    <w:p>
      <w:pPr>
        <w:spacing w:before="0"/>
        <w:ind w:left="245" w:right="0" w:firstLine="0"/>
        <w:jc w:val="left"/>
        <w:rPr>
          <w:rFonts w:ascii="Gill Sans MT"/>
          <w:sz w:val="24"/>
        </w:rPr>
      </w:pPr>
      <w:r>
        <w:rPr>
          <w:rFonts w:ascii="Gill Sans MT"/>
          <w:color w:val="71A276"/>
          <w:spacing w:val="-1"/>
          <w:sz w:val="24"/>
        </w:rPr>
        <w:t>Entities</w:t>
      </w:r>
    </w:p>
    <w:p>
      <w:pPr>
        <w:spacing w:before="51"/>
        <w:ind w:left="-32" w:right="0" w:firstLine="0"/>
        <w:jc w:val="left"/>
        <w:rPr>
          <w:sz w:val="28"/>
        </w:rPr>
      </w:pPr>
      <w:r>
        <w:rPr/>
        <w:br w:type="column"/>
      </w:r>
      <w:r>
        <w:rPr>
          <w:color w:val="71A276"/>
          <w:w w:val="110"/>
          <w:sz w:val="28"/>
        </w:rPr>
        <w:t>Queensland Register of Lobbyists</w:t>
      </w:r>
    </w:p>
    <w:p>
      <w:pPr>
        <w:pStyle w:val="Heading4"/>
        <w:tabs>
          <w:tab w:pos="3756" w:val="left" w:leader="none"/>
        </w:tabs>
        <w:spacing w:before="213"/>
        <w:ind w:left="1238"/>
      </w:pPr>
      <w:r>
        <w:rPr/>
        <w:pict>
          <v:group style="position:absolute;margin-left:566.039978pt;margin-top:49.900368pt;width:79.2pt;height:79.2pt;mso-position-horizontal-relative:page;mso-position-vertical-relative:paragraph;z-index:15741952" coordorigin="11321,998" coordsize="1584,1584">
            <v:shape style="position:absolute;left:11320;top:998;width:1584;height:1584" coordorigin="11321,998" coordsize="1584,1584" path="m12113,998l12036,1002,11962,1012,11890,1030,11821,1053,11755,1083,11692,1119,11633,1159,11579,1205,11528,1256,11482,1311,11441,1370,11406,1432,11376,1499,11352,1568,11335,1640,11324,1714,11321,1790,11324,1866,11335,1941,11352,2012,11376,2081,11406,2148,11441,2210,11482,2269,11528,2324,11579,2375,11633,2421,11692,2461,11755,2497,11821,2527,11890,2550,11962,2568,12036,2578,12113,2582,12189,2578,12263,2568,12335,2550,12404,2527,12470,2497,12533,2461,12592,2421,12647,2375,12698,2324,12743,2269,12784,2210,12820,2148,12849,2081,12873,2012,12891,1941,12901,1866,12905,1790,12901,1714,12891,1640,12873,1568,12849,1499,12820,1432,12784,1370,12743,1311,12698,1256,12647,1205,12592,1159,12533,1119,12470,1083,12404,1053,12335,1030,12263,1012,12189,1002,12113,998xe" filled="true" fillcolor="#abc7ac" stroked="false">
              <v:path arrowok="t"/>
              <v:fill type="solid"/>
            </v:shape>
            <v:shape style="position:absolute;left:11320;top:998;width:1584;height:1584" type="#_x0000_t202" filled="false" stroked="false">
              <v:textbox inset="0,0,0,0">
                <w:txbxContent>
                  <w:p>
                    <w:pPr>
                      <w:spacing w:line="240" w:lineRule="auto" w:before="5"/>
                      <w:rPr>
                        <w:sz w:val="42"/>
                      </w:rPr>
                    </w:pPr>
                  </w:p>
                  <w:p>
                    <w:pPr>
                      <w:spacing w:before="0"/>
                      <w:ind w:left="491" w:right="0" w:firstLine="0"/>
                      <w:jc w:val="left"/>
                      <w:rPr>
                        <w:rFonts w:ascii="Gill Sans MT"/>
                        <w:sz w:val="40"/>
                      </w:rPr>
                    </w:pPr>
                    <w:r>
                      <w:rPr>
                        <w:rFonts w:ascii="Gill Sans MT"/>
                        <w:color w:val="FFFFFF"/>
                        <w:sz w:val="40"/>
                      </w:rPr>
                      <w:t>113</w:t>
                    </w:r>
                  </w:p>
                </w:txbxContent>
              </v:textbox>
              <w10:wrap type="none"/>
            </v:shape>
            <w10:wrap type="none"/>
          </v:group>
        </w:pict>
      </w:r>
      <w:r>
        <w:rPr/>
        <w:pict>
          <v:group style="position:absolute;margin-left:693.52002pt;margin-top:51.880367pt;width:79.2pt;height:79.2pt;mso-position-horizontal-relative:page;mso-position-vertical-relative:paragraph;z-index:15742976" coordorigin="13870,1038" coordsize="1584,1584">
            <v:shape style="position:absolute;left:13870;top:1037;width:1584;height:1584" coordorigin="13870,1038" coordsize="1584,1584" path="m14662,1038l14586,1041,14512,1052,14440,1069,14371,1093,14305,1123,14242,1158,14183,1199,14128,1245,14078,1295,14032,1350,13991,1409,13956,1472,13926,1538,13902,1607,13885,1679,13874,1753,13870,1830,13874,1906,13885,1980,13902,2052,13926,2121,13956,2187,13991,2250,14032,2309,14078,2364,14128,2414,14183,2460,14242,2501,14305,2536,14371,2566,14440,2590,14512,2607,14586,2618,14662,2622,14739,2618,14813,2607,14885,2590,14954,2566,15020,2536,15083,2501,15142,2460,15197,2414,15247,2364,15293,2309,15334,2250,15369,2187,15399,2121,15423,2052,15440,1980,15451,1906,15454,1830,15451,1753,15440,1679,15423,1607,15399,1538,15369,1472,15334,1409,15293,1350,15247,1295,15197,1245,15142,1199,15083,1158,15020,1123,14954,1093,14885,1069,14813,1052,14739,1041,14662,1038xe" filled="true" fillcolor="#71a276" stroked="false">
              <v:path arrowok="t"/>
              <v:fill type="solid"/>
            </v:shape>
            <v:shape style="position:absolute;left:14562;top:1556;width:221;height:465" type="#_x0000_t202" filled="false" stroked="false">
              <v:textbox inset="0,0,0,0">
                <w:txbxContent>
                  <w:p>
                    <w:pPr>
                      <w:spacing w:before="0"/>
                      <w:ind w:left="0" w:right="0" w:firstLine="0"/>
                      <w:jc w:val="left"/>
                      <w:rPr>
                        <w:rFonts w:ascii="Gill Sans MT"/>
                        <w:sz w:val="40"/>
                      </w:rPr>
                    </w:pPr>
                    <w:r>
                      <w:rPr>
                        <w:rFonts w:ascii="Gill Sans MT"/>
                        <w:color w:val="FFFFFF"/>
                        <w:w w:val="100"/>
                        <w:sz w:val="40"/>
                      </w:rPr>
                      <w:t>4</w:t>
                    </w:r>
                  </w:p>
                </w:txbxContent>
              </v:textbox>
              <w10:wrap type="none"/>
            </v:shape>
            <w10:wrap type="none"/>
          </v:group>
        </w:pict>
      </w:r>
      <w:r>
        <w:rPr>
          <w:color w:val="71A276"/>
          <w:position w:val="-5"/>
        </w:rPr>
        <w:t>Registered</w:t>
        <w:tab/>
      </w:r>
      <w:r>
        <w:rPr>
          <w:color w:val="71A276"/>
        </w:rPr>
        <w:t>De-registered</w:t>
      </w:r>
    </w:p>
    <w:p>
      <w:pPr>
        <w:spacing w:after="0"/>
        <w:sectPr>
          <w:pgSz w:w="16840" w:h="11910" w:orient="landscape"/>
          <w:pgMar w:header="0" w:footer="360" w:top="780" w:bottom="540" w:left="580" w:right="620"/>
          <w:cols w:num="3" w:equalWidth="0">
            <w:col w:w="7640" w:space="932"/>
            <w:col w:w="957" w:space="39"/>
            <w:col w:w="6072"/>
          </w:cols>
        </w:sectPr>
      </w:pPr>
    </w:p>
    <w:p>
      <w:pPr>
        <w:pStyle w:val="BodyText"/>
        <w:spacing w:line="276" w:lineRule="auto" w:before="120"/>
        <w:ind w:left="245" w:right="41"/>
        <w:jc w:val="both"/>
      </w:pPr>
      <w:r>
        <w:rPr/>
        <w:t>The regulatory system is based on the requirement, under section 71 of the </w:t>
      </w:r>
      <w:r>
        <w:rPr>
          <w:i/>
        </w:rPr>
        <w:t>Integrity Act </w:t>
      </w:r>
      <w:r>
        <w:rPr>
          <w:i/>
        </w:rPr>
        <w:t>2009</w:t>
      </w:r>
      <w:r>
        <w:rPr/>
        <w:t>, that ‘government representatives’ must not knowingly permit an entity that is not a registered lobbyist to carry out lobbying activity for a third party client with the government representative.</w:t>
      </w:r>
    </w:p>
    <w:p>
      <w:pPr>
        <w:pStyle w:val="BodyText"/>
        <w:spacing w:line="276" w:lineRule="auto" w:before="121"/>
        <w:ind w:left="245" w:right="38"/>
        <w:jc w:val="both"/>
      </w:pPr>
      <w:r>
        <w:rPr/>
        <w:t>The Integrity Commissioner has no investigative powers under the </w:t>
      </w:r>
      <w:r>
        <w:rPr>
          <w:i/>
        </w:rPr>
        <w:t>Integrity Act 2009</w:t>
      </w:r>
      <w:r>
        <w:rPr/>
        <w:t>. Where appropriate, the Integrity Commissioner is able to refer matters of concern to the relevant agency, such as the Queensland Police Service or the Crime and Corruption Commission, for assessment and possible investigation and prosecution.</w:t>
      </w:r>
    </w:p>
    <w:p>
      <w:pPr>
        <w:pStyle w:val="BodyText"/>
      </w:pPr>
    </w:p>
    <w:p>
      <w:pPr>
        <w:pStyle w:val="BodyText"/>
        <w:spacing w:before="11"/>
        <w:rPr>
          <w:sz w:val="22"/>
        </w:rPr>
      </w:pPr>
    </w:p>
    <w:p>
      <w:pPr>
        <w:pStyle w:val="Heading5"/>
      </w:pPr>
      <w:r>
        <w:rPr>
          <w:w w:val="115"/>
        </w:rPr>
        <w:t>Register of lobbyists contact</w:t>
      </w:r>
    </w:p>
    <w:p>
      <w:pPr>
        <w:pStyle w:val="BodyText"/>
        <w:spacing w:line="276" w:lineRule="auto" w:before="156"/>
        <w:ind w:left="245" w:right="45"/>
        <w:jc w:val="both"/>
      </w:pPr>
      <w:r>
        <w:rPr/>
        <w:t>The Integrity Commissioner is responsible for maintaining the Queensland register of lobbyists and the obligation on lobbyists to file details of their lobbying contacts in accordance with the Lobbyists Code of Conduct.</w:t>
      </w:r>
    </w:p>
    <w:p>
      <w:pPr>
        <w:pStyle w:val="BodyText"/>
        <w:spacing w:line="276" w:lineRule="auto" w:before="120"/>
        <w:ind w:left="245" w:right="41"/>
        <w:jc w:val="both"/>
      </w:pPr>
      <w:r>
        <w:rPr/>
        <w:t>As part of ongoing checks, and to assist in the Integrity Commissioner’s discharge of her functions and powers under the </w:t>
      </w:r>
      <w:r>
        <w:rPr>
          <w:i/>
        </w:rPr>
        <w:t>Integrity Act 2009, </w:t>
      </w:r>
      <w:r>
        <w:rPr/>
        <w:t>in November 2019 the Integrity Commissioner wrote to all departments and councils requesting confirmation that all lobbying contacts with officers within their or their related units of administration were properly recorded by lobbyists on the Register.</w:t>
      </w:r>
    </w:p>
    <w:p>
      <w:pPr>
        <w:pStyle w:val="BodyText"/>
        <w:spacing w:line="276" w:lineRule="auto" w:before="121"/>
        <w:ind w:left="245" w:right="45"/>
        <w:jc w:val="both"/>
      </w:pPr>
      <w:r>
        <w:rPr/>
        <w:t>All bodies provided responses as to compliance, except for one council which declined on the grounds that it does not keep centralised lobbying records. However, the council is now seeking to rectify the matter. The Register is published on our website at:</w:t>
      </w:r>
    </w:p>
    <w:p>
      <w:pPr>
        <w:pStyle w:val="BodyText"/>
        <w:spacing w:before="60"/>
        <w:ind w:left="245"/>
      </w:pPr>
      <w:hyperlink r:id="rId38">
        <w:r>
          <w:rPr>
            <w:rFonts w:ascii="Times New Roman"/>
            <w:color w:val="E37D7D"/>
            <w:w w:val="99"/>
            <w:u w:val="single" w:color="E37D7D"/>
          </w:rPr>
          <w:t> </w:t>
        </w:r>
        <w:r>
          <w:rPr>
            <w:color w:val="E37D7D"/>
            <w:u w:val="single" w:color="E37D7D"/>
          </w:rPr>
          <w:t>https://lobbyists.integrity.qld.gov.au/ContactLog.aspx</w:t>
        </w:r>
        <w:r>
          <w:rPr/>
          <w:t>.</w:t>
        </w:r>
      </w:hyperlink>
    </w:p>
    <w:p>
      <w:pPr>
        <w:pStyle w:val="BodyText"/>
        <w:rPr>
          <w:sz w:val="28"/>
        </w:rPr>
      </w:pPr>
      <w:r>
        <w:rPr/>
        <w:br w:type="column"/>
      </w:r>
      <w:r>
        <w:rPr>
          <w:sz w:val="28"/>
        </w:rPr>
      </w:r>
    </w:p>
    <w:p>
      <w:pPr>
        <w:pStyle w:val="BodyText"/>
        <w:rPr>
          <w:sz w:val="28"/>
        </w:rPr>
      </w:pPr>
    </w:p>
    <w:p>
      <w:pPr>
        <w:pStyle w:val="BodyText"/>
        <w:rPr>
          <w:sz w:val="28"/>
        </w:rPr>
      </w:pPr>
    </w:p>
    <w:p>
      <w:pPr>
        <w:pStyle w:val="Heading4"/>
        <w:spacing w:before="217"/>
        <w:ind w:left="1028" w:right="5885" w:firstLine="192"/>
      </w:pPr>
      <w:r>
        <w:rPr>
          <w:color w:val="71A276"/>
        </w:rPr>
        <w:t>Listed Persons</w:t>
      </w:r>
    </w:p>
    <w:p>
      <w:pPr>
        <w:pStyle w:val="BodyText"/>
        <w:rPr>
          <w:rFonts w:ascii="Gill Sans MT"/>
          <w:sz w:val="28"/>
        </w:rPr>
      </w:pPr>
    </w:p>
    <w:p>
      <w:pPr>
        <w:pStyle w:val="BodyText"/>
        <w:rPr>
          <w:rFonts w:ascii="Gill Sans MT"/>
          <w:sz w:val="28"/>
        </w:rPr>
      </w:pPr>
    </w:p>
    <w:p>
      <w:pPr>
        <w:pStyle w:val="BodyText"/>
        <w:spacing w:before="8"/>
        <w:rPr>
          <w:rFonts w:ascii="Gill Sans MT"/>
          <w:sz w:val="26"/>
        </w:rPr>
      </w:pPr>
    </w:p>
    <w:p>
      <w:pPr>
        <w:pStyle w:val="Heading5"/>
        <w:spacing w:before="1"/>
        <w:jc w:val="both"/>
      </w:pPr>
      <w:r>
        <w:rPr/>
        <w:pict>
          <v:group style="position:absolute;margin-left:564.940002pt;margin-top:-91.876358pt;width:79.2pt;height:79.2pt;mso-position-horizontal-relative:page;mso-position-vertical-relative:paragraph;z-index:15742464" coordorigin="11299,-1838" coordsize="1584,1584">
            <v:shape style="position:absolute;left:11298;top:-1838;width:1584;height:1584" coordorigin="11299,-1838" coordsize="1584,1584" path="m12091,-1838l12015,-1834,11940,-1823,11868,-1806,11799,-1782,11733,-1752,11671,-1717,11612,-1676,11557,-1630,11506,-1580,11460,-1525,11419,-1466,11384,-1403,11354,-1337,11330,-1268,11313,-1196,11302,-1122,11299,-1046,11302,-969,11313,-895,11330,-823,11354,-754,11384,-688,11419,-625,11460,-566,11506,-511,11557,-461,11612,-415,11671,-374,11733,-339,11799,-309,11868,-285,11940,-268,12015,-257,12091,-254,12167,-257,12241,-268,12313,-285,12382,-309,12448,-339,12511,-374,12570,-415,12625,-461,12676,-511,12721,-566,12762,-625,12798,-688,12827,-754,12851,-823,12869,-895,12879,-969,12883,-1046,12879,-1122,12869,-1196,12851,-1268,12827,-1337,12798,-1403,12762,-1466,12721,-1525,12676,-1580,12625,-1630,12570,-1676,12511,-1717,12448,-1752,12382,-1782,12313,-1806,12241,-1823,12167,-1834,12091,-1838xe" filled="true" fillcolor="#abc7ac" stroked="false">
              <v:path arrowok="t"/>
              <v:fill type="solid"/>
            </v:shape>
            <v:shape style="position:absolute;left:11298;top:-1838;width:1584;height:1584" type="#_x0000_t202" filled="false" stroked="false">
              <v:textbox inset="0,0,0,0">
                <w:txbxContent>
                  <w:p>
                    <w:pPr>
                      <w:spacing w:line="240" w:lineRule="auto" w:before="6"/>
                      <w:rPr>
                        <w:sz w:val="42"/>
                      </w:rPr>
                    </w:pPr>
                  </w:p>
                  <w:p>
                    <w:pPr>
                      <w:spacing w:before="0"/>
                      <w:ind w:left="491" w:right="0" w:firstLine="0"/>
                      <w:jc w:val="left"/>
                      <w:rPr>
                        <w:rFonts w:ascii="Gill Sans MT"/>
                        <w:sz w:val="40"/>
                      </w:rPr>
                    </w:pPr>
                    <w:r>
                      <w:rPr>
                        <w:rFonts w:ascii="Gill Sans MT"/>
                        <w:color w:val="FFFFFF"/>
                        <w:sz w:val="40"/>
                      </w:rPr>
                      <w:t>300</w:t>
                    </w:r>
                  </w:p>
                </w:txbxContent>
              </v:textbox>
              <w10:wrap type="none"/>
            </v:shape>
            <w10:wrap type="none"/>
          </v:group>
        </w:pict>
      </w:r>
      <w:r>
        <w:rPr/>
        <w:pict>
          <v:group style="position:absolute;margin-left:691.5pt;margin-top:-91.876358pt;width:79.2pt;height:79.2pt;mso-position-horizontal-relative:page;mso-position-vertical-relative:paragraph;z-index:15743488" coordorigin="13830,-1838" coordsize="1584,1584">
            <v:shape style="position:absolute;left:13830;top:-1838;width:1584;height:1584" coordorigin="13830,-1838" coordsize="1584,1584" path="m14622,-1838l14546,-1834,14471,-1823,14400,-1806,14330,-1782,14264,-1752,14202,-1717,14143,-1676,14088,-1630,14037,-1580,13991,-1525,13951,-1466,13915,-1403,13885,-1337,13862,-1268,13844,-1196,13834,-1122,13830,-1046,13834,-969,13844,-895,13862,-823,13885,-754,13915,-688,13951,-625,13991,-566,14037,-511,14088,-461,14143,-415,14202,-374,14264,-339,14330,-309,14400,-285,14471,-268,14546,-257,14622,-254,14698,-257,14772,-268,14844,-285,14913,-309,14980,-339,15042,-374,15101,-415,15156,-461,15207,-511,15253,-566,15293,-625,15329,-688,15359,-754,15382,-823,15400,-895,15410,-969,15414,-1046,15410,-1122,15400,-1196,15382,-1268,15359,-1337,15329,-1403,15293,-1466,15253,-1525,15207,-1580,15156,-1630,15101,-1676,15042,-1717,14980,-1752,14913,-1782,14844,-1806,14772,-1823,14698,-1834,14622,-1838xe" filled="true" fillcolor="#71a276" stroked="false">
              <v:path arrowok="t"/>
              <v:fill type="solid"/>
            </v:shape>
            <v:shape style="position:absolute;left:14524;top:-1320;width:221;height:465" type="#_x0000_t202" filled="false" stroked="false">
              <v:textbox inset="0,0,0,0">
                <w:txbxContent>
                  <w:p>
                    <w:pPr>
                      <w:spacing w:before="0"/>
                      <w:ind w:left="0" w:right="0" w:firstLine="0"/>
                      <w:jc w:val="left"/>
                      <w:rPr>
                        <w:rFonts w:ascii="Gill Sans MT"/>
                        <w:sz w:val="40"/>
                      </w:rPr>
                    </w:pPr>
                    <w:r>
                      <w:rPr>
                        <w:rFonts w:ascii="Gill Sans MT"/>
                        <w:color w:val="FFFFFF"/>
                        <w:w w:val="100"/>
                        <w:sz w:val="40"/>
                      </w:rPr>
                      <w:t>8</w:t>
                    </w:r>
                  </w:p>
                </w:txbxContent>
              </v:textbox>
              <w10:wrap type="none"/>
            </v:shape>
            <w10:wrap type="none"/>
          </v:group>
        </w:pict>
      </w:r>
      <w:r>
        <w:rPr>
          <w:w w:val="110"/>
        </w:rPr>
        <w:t>Code of Conduct</w:t>
      </w:r>
    </w:p>
    <w:p>
      <w:pPr>
        <w:pStyle w:val="BodyText"/>
        <w:spacing w:line="276" w:lineRule="auto" w:before="158"/>
        <w:ind w:left="245" w:right="179"/>
        <w:jc w:val="both"/>
      </w:pPr>
      <w:r>
        <w:rPr/>
        <w:t>Lobbyists are required to comply with a Lobbyists Code of Conduct which imposes a set of ethical obligations and responsibilities on professional lobbyists seeking to influence government policy and decision making, while representing the interests of another person or body for a fee or other</w:t>
      </w:r>
      <w:r>
        <w:rPr>
          <w:spacing w:val="-3"/>
        </w:rPr>
        <w:t> </w:t>
      </w:r>
      <w:r>
        <w:rPr/>
        <w:t>reward.</w:t>
      </w:r>
    </w:p>
    <w:p>
      <w:pPr>
        <w:pStyle w:val="BodyText"/>
        <w:spacing w:line="276" w:lineRule="auto" w:before="120"/>
        <w:ind w:left="245" w:right="174"/>
        <w:jc w:val="both"/>
      </w:pPr>
      <w:r>
        <w:rPr/>
        <w:t>Ethical lobbying is widely regarded to be a legitimate activity as part of the contest of ideas in the democratic process. Lobbyists can assist individuals and organisations to communicate their views to government and opposition representatives on matters of public interest. However, there are also inherent integrity risks with the commercialised aspects of lobbying. Lobbyists perceived to have personal influence over decision- makers, often because of past public sector roles or pre-existing associations and ties, tend to be highly sought after. Typically, lobbyists are also former politicians and ministerial or party staff. The Lobbyists Code of Conduct (Code) includes the following obligation:</w:t>
      </w:r>
    </w:p>
    <w:p>
      <w:pPr>
        <w:spacing w:before="119"/>
        <w:ind w:left="606" w:right="0" w:firstLine="0"/>
        <w:jc w:val="both"/>
        <w:rPr>
          <w:i/>
          <w:sz w:val="20"/>
        </w:rPr>
      </w:pPr>
      <w:r>
        <w:rPr>
          <w:color w:val="1F1F1E"/>
          <w:sz w:val="20"/>
        </w:rPr>
        <w:t>‘</w:t>
      </w:r>
      <w:r>
        <w:rPr>
          <w:i/>
          <w:color w:val="1F1F1E"/>
          <w:sz w:val="20"/>
        </w:rPr>
        <w:t>Lobbyists shall keep strictly separate from their duties and activities as</w:t>
      </w:r>
    </w:p>
    <w:p>
      <w:pPr>
        <w:spacing w:before="37"/>
        <w:ind w:left="606" w:right="0" w:firstLine="0"/>
        <w:jc w:val="both"/>
        <w:rPr>
          <w:sz w:val="20"/>
        </w:rPr>
      </w:pPr>
      <w:r>
        <w:rPr>
          <w:i/>
          <w:color w:val="1F1F1E"/>
          <w:sz w:val="20"/>
        </w:rPr>
        <w:t>lobbyists any personal activity or involvement on behalf of a political party</w:t>
      </w:r>
      <w:r>
        <w:rPr>
          <w:color w:val="1F1F1E"/>
          <w:sz w:val="20"/>
        </w:rPr>
        <w:t>.’</w:t>
      </w:r>
    </w:p>
    <w:p>
      <w:pPr>
        <w:spacing w:after="0"/>
        <w:jc w:val="both"/>
        <w:rPr>
          <w:sz w:val="20"/>
        </w:rPr>
        <w:sectPr>
          <w:type w:val="continuous"/>
          <w:pgSz w:w="16840" w:h="11910" w:orient="landscape"/>
          <w:pgMar w:top="1100" w:bottom="280" w:left="580" w:right="620"/>
          <w:cols w:num="2" w:equalWidth="0">
            <w:col w:w="7643" w:space="292"/>
            <w:col w:w="7705"/>
          </w:cols>
        </w:sectPr>
      </w:pPr>
    </w:p>
    <w:p>
      <w:pPr>
        <w:spacing w:before="85"/>
        <w:ind w:left="245" w:right="0" w:firstLine="0"/>
        <w:jc w:val="left"/>
        <w:rPr>
          <w:rFonts w:ascii="Gill Sans MT"/>
          <w:b/>
          <w:sz w:val="25"/>
        </w:rPr>
      </w:pPr>
      <w:r>
        <w:rPr>
          <w:rFonts w:ascii="Gill Sans MT"/>
          <w:b/>
          <w:color w:val="71A276"/>
          <w:w w:val="105"/>
          <w:sz w:val="32"/>
        </w:rPr>
        <w:t>L</w:t>
      </w:r>
      <w:r>
        <w:rPr>
          <w:rFonts w:ascii="Gill Sans MT"/>
          <w:b/>
          <w:color w:val="71A276"/>
          <w:w w:val="105"/>
          <w:sz w:val="25"/>
        </w:rPr>
        <w:t>OBBYISTS FUNCTION</w:t>
      </w:r>
    </w:p>
    <w:p>
      <w:pPr>
        <w:pStyle w:val="Heading5"/>
        <w:spacing w:before="204"/>
      </w:pPr>
      <w:r>
        <w:rPr>
          <w:w w:val="110"/>
        </w:rPr>
        <w:t>Code of Conduct Cont’d</w:t>
      </w:r>
    </w:p>
    <w:p>
      <w:pPr>
        <w:pStyle w:val="BodyText"/>
        <w:spacing w:line="276" w:lineRule="auto" w:before="156"/>
        <w:ind w:left="245" w:right="38"/>
        <w:jc w:val="both"/>
      </w:pPr>
      <w:r>
        <w:rPr/>
        <w:t>The Code does not prevent ongoing personal activity or involvement on behalf of a political party. An example of a breach of the Code would likely include the lobbyist’s political support for a government representative, being expressed as dependant on the outcome of their lobbying activity. This document is available online at:</w:t>
      </w:r>
    </w:p>
    <w:p>
      <w:pPr>
        <w:pStyle w:val="BodyText"/>
        <w:spacing w:before="60"/>
        <w:ind w:left="245"/>
      </w:pPr>
      <w:hyperlink r:id="rId39">
        <w:r>
          <w:rPr>
            <w:rFonts w:ascii="Times New Roman"/>
            <w:color w:val="E37D7D"/>
            <w:w w:val="99"/>
            <w:u w:val="single" w:color="E37D7D"/>
          </w:rPr>
          <w:t> </w:t>
        </w:r>
        <w:r>
          <w:rPr>
            <w:color w:val="E37D7D"/>
            <w:u w:val="single" w:color="E37D7D"/>
          </w:rPr>
          <w:t>www.integrity.qld.gov.au/lobbyists/obligations-code-of-conduct.aspx</w:t>
        </w:r>
        <w:r>
          <w:rPr/>
          <w:t>.</w:t>
        </w:r>
      </w:hyperlink>
    </w:p>
    <w:p>
      <w:pPr>
        <w:pStyle w:val="BodyText"/>
        <w:rPr>
          <w:sz w:val="22"/>
        </w:rPr>
      </w:pPr>
      <w:r>
        <w:rPr/>
        <w:br w:type="column"/>
      </w:r>
      <w:r>
        <w:rPr>
          <w:sz w:val="22"/>
        </w:rPr>
      </w:r>
    </w:p>
    <w:p>
      <w:pPr>
        <w:pStyle w:val="BodyText"/>
        <w:spacing w:before="6"/>
        <w:rPr>
          <w:sz w:val="30"/>
        </w:rPr>
      </w:pPr>
    </w:p>
    <w:p>
      <w:pPr>
        <w:pStyle w:val="Heading5"/>
        <w:ind w:left="246"/>
      </w:pPr>
      <w:r>
        <w:rPr>
          <w:w w:val="115"/>
        </w:rPr>
        <w:t>Resources for lobbyists</w:t>
      </w:r>
    </w:p>
    <w:p>
      <w:pPr>
        <w:pStyle w:val="BodyText"/>
        <w:spacing w:line="276" w:lineRule="auto" w:before="156"/>
        <w:ind w:left="246" w:right="190"/>
        <w:jc w:val="both"/>
      </w:pPr>
      <w:r>
        <w:rPr/>
        <w:t>To meet demand for advice and information about lobbying, the office of the Integrity Commissioner developed and published a ‘Common Questions and Answers’ factsheet (similar to a Frequently Asked Questions) on our website at:</w:t>
      </w:r>
    </w:p>
    <w:p>
      <w:pPr>
        <w:pStyle w:val="BodyText"/>
        <w:spacing w:before="120"/>
        <w:ind w:left="245"/>
      </w:pPr>
      <w:r>
        <w:rPr>
          <w:rFonts w:ascii="Times New Roman"/>
          <w:color w:val="E37D7D"/>
          <w:w w:val="99"/>
          <w:u w:val="single" w:color="E37D7D"/>
        </w:rPr>
        <w:t> </w:t>
      </w:r>
      <w:hyperlink r:id="rId40">
        <w:r>
          <w:rPr>
            <w:color w:val="E37D7D"/>
            <w:u w:val="single" w:color="E37D7D"/>
          </w:rPr>
          <w:t>https://www.integrity.qld.gov.au/lobbyists/lobbying-questions-answers.aspx</w:t>
        </w:r>
        <w:r>
          <w:rPr/>
          <w:t>.</w:t>
        </w:r>
      </w:hyperlink>
    </w:p>
    <w:p>
      <w:pPr>
        <w:spacing w:after="0"/>
        <w:sectPr>
          <w:pgSz w:w="16840" w:h="11910" w:orient="landscape"/>
          <w:pgMar w:header="0" w:footer="360" w:top="780" w:bottom="540" w:left="580" w:right="620"/>
          <w:cols w:num="2" w:equalWidth="0">
            <w:col w:w="7642" w:space="204"/>
            <w:col w:w="7794"/>
          </w:cols>
        </w:sectPr>
      </w:pPr>
    </w:p>
    <w:p>
      <w:pPr>
        <w:pStyle w:val="BodyText"/>
        <w:spacing w:line="276" w:lineRule="auto" w:before="158"/>
        <w:ind w:left="245" w:right="38"/>
        <w:jc w:val="both"/>
      </w:pPr>
      <w:r>
        <w:rPr/>
        <w:t>However, ‘lobbying activity’ under the </w:t>
      </w:r>
      <w:r>
        <w:rPr>
          <w:i/>
        </w:rPr>
        <w:t>Integrity Act 2009 </w:t>
      </w:r>
      <w:r>
        <w:rPr/>
        <w:t>may not be clearly distinct from other conduct, and depends on the individual facts. To assist in a consideration of the issues, the office of the Integrity Commissioner began in early 2020 to publish a series of questions and answers, based on common questions received in relation to lobbying and in working with lobbyists. While not intended to give a definitive legal position, they reflect the office of the Integrity Commissioner’s current understanding and interpretations.</w:t>
      </w:r>
    </w:p>
    <w:p>
      <w:pPr>
        <w:pStyle w:val="BodyText"/>
        <w:spacing w:line="276" w:lineRule="auto" w:before="120"/>
        <w:ind w:left="245" w:right="41"/>
        <w:jc w:val="both"/>
      </w:pPr>
      <w:r>
        <w:rPr/>
        <w:t>The office of the Integrity Commissioner has also developed a framework that is applied, taking into account the </w:t>
      </w:r>
      <w:r>
        <w:rPr>
          <w:i/>
        </w:rPr>
        <w:t>Integrity Act 2009, </w:t>
      </w:r>
      <w:r>
        <w:rPr/>
        <w:t>when assessing whether the conduct of a person or entity might warrant removal from the Register or refusal to register an entity or list a</w:t>
      </w:r>
      <w:r>
        <w:rPr>
          <w:spacing w:val="-1"/>
        </w:rPr>
        <w:t> </w:t>
      </w:r>
      <w:r>
        <w:rPr/>
        <w:t>person.</w:t>
      </w:r>
    </w:p>
    <w:p>
      <w:pPr>
        <w:pStyle w:val="BodyText"/>
      </w:pPr>
    </w:p>
    <w:p>
      <w:pPr>
        <w:pStyle w:val="BodyText"/>
        <w:spacing w:before="3"/>
        <w:rPr>
          <w:sz w:val="25"/>
        </w:rPr>
      </w:pPr>
    </w:p>
    <w:p>
      <w:pPr>
        <w:pStyle w:val="Heading5"/>
        <w:jc w:val="both"/>
      </w:pPr>
      <w:r>
        <w:rPr>
          <w:w w:val="110"/>
        </w:rPr>
        <w:t>Number of Requests for Advice about Lobbying</w:t>
      </w:r>
    </w:p>
    <w:p>
      <w:pPr>
        <w:pStyle w:val="BodyText"/>
        <w:spacing w:line="276" w:lineRule="auto" w:before="159"/>
        <w:ind w:left="245" w:right="45"/>
        <w:jc w:val="both"/>
      </w:pPr>
      <w:r>
        <w:rPr/>
        <w:t>When Dr Stepanov commenced as Integrity Commissioner, requests for advice or guidance on lobbying issues were relatively few. However, this financial year, the Integrity Commissioner received 35 requests for advice and general enquiries about</w:t>
      </w:r>
      <w:r>
        <w:rPr>
          <w:spacing w:val="-17"/>
        </w:rPr>
        <w:t> </w:t>
      </w:r>
      <w:r>
        <w:rPr/>
        <w:t>lobbying.</w:t>
      </w:r>
    </w:p>
    <w:p>
      <w:pPr>
        <w:pStyle w:val="BodyText"/>
        <w:spacing w:line="276" w:lineRule="auto" w:before="120"/>
        <w:ind w:left="245" w:right="38"/>
        <w:jc w:val="both"/>
      </w:pPr>
      <w:r>
        <w:rPr/>
        <w:t>This represents a very significant increase in comparison to the 2015-2017 period, noting that, as below, similarly high numbers have occurred sporadically over the past 11 years.</w:t>
      </w:r>
    </w:p>
    <w:p>
      <w:pPr>
        <w:pStyle w:val="BodyText"/>
        <w:rPr>
          <w:sz w:val="32"/>
        </w:rPr>
      </w:pPr>
      <w:r>
        <w:rPr/>
        <w:br w:type="column"/>
      </w:r>
      <w:r>
        <w:rPr>
          <w:sz w:val="32"/>
        </w:rPr>
      </w:r>
    </w:p>
    <w:p>
      <w:pPr>
        <w:pStyle w:val="BodyText"/>
        <w:spacing w:before="11"/>
        <w:rPr>
          <w:sz w:val="25"/>
        </w:rPr>
      </w:pPr>
    </w:p>
    <w:p>
      <w:pPr>
        <w:spacing w:line="364" w:lineRule="auto" w:before="0"/>
        <w:ind w:left="2731" w:right="1355" w:hanging="819"/>
        <w:jc w:val="left"/>
        <w:rPr>
          <w:rFonts w:ascii="Gill Sans MT" w:hAnsi="Gill Sans MT"/>
          <w:sz w:val="28"/>
        </w:rPr>
      </w:pPr>
      <w:r>
        <w:rPr/>
        <w:drawing>
          <wp:anchor distT="0" distB="0" distL="0" distR="0" allowOverlap="1" layoutInCell="1" locked="0" behindDoc="1" simplePos="0" relativeHeight="486904832">
            <wp:simplePos x="0" y="0"/>
            <wp:positionH relativeFrom="page">
              <wp:posOffset>5495144</wp:posOffset>
            </wp:positionH>
            <wp:positionV relativeFrom="paragraph">
              <wp:posOffset>597754</wp:posOffset>
            </wp:positionV>
            <wp:extent cx="4718163" cy="2633006"/>
            <wp:effectExtent l="0" t="0" r="0" b="0"/>
            <wp:wrapNone/>
            <wp:docPr id="43" name="image31.png"/>
            <wp:cNvGraphicFramePr>
              <a:graphicFrameLocks noChangeAspect="1"/>
            </wp:cNvGraphicFramePr>
            <a:graphic>
              <a:graphicData uri="http://schemas.openxmlformats.org/drawingml/2006/picture">
                <pic:pic>
                  <pic:nvPicPr>
                    <pic:cNvPr id="44" name="image31.png"/>
                    <pic:cNvPicPr/>
                  </pic:nvPicPr>
                  <pic:blipFill>
                    <a:blip r:embed="rId41" cstate="print"/>
                    <a:stretch>
                      <a:fillRect/>
                    </a:stretch>
                  </pic:blipFill>
                  <pic:spPr>
                    <a:xfrm>
                      <a:off x="0" y="0"/>
                      <a:ext cx="4718163" cy="2633006"/>
                    </a:xfrm>
                    <a:prstGeom prst="rect">
                      <a:avLst/>
                    </a:prstGeom>
                  </pic:spPr>
                </pic:pic>
              </a:graphicData>
            </a:graphic>
          </wp:anchor>
        </w:drawing>
      </w:r>
      <w:r>
        <w:rPr>
          <w:rFonts w:ascii="Gill Sans MT" w:hAnsi="Gill Sans MT"/>
          <w:color w:val="71A276"/>
          <w:sz w:val="28"/>
        </w:rPr>
        <w:t>L</w:t>
      </w:r>
      <w:r>
        <w:rPr>
          <w:rFonts w:ascii="Gill Sans MT" w:hAnsi="Gill Sans MT"/>
          <w:color w:val="71A276"/>
          <w:sz w:val="22"/>
        </w:rPr>
        <w:t>OBBYING REQUESTS </w:t>
      </w:r>
      <w:r>
        <w:rPr>
          <w:rFonts w:ascii="Gill Sans MT" w:hAnsi="Gill Sans MT"/>
          <w:color w:val="71A276"/>
          <w:sz w:val="28"/>
        </w:rPr>
        <w:t>F</w:t>
      </w:r>
      <w:r>
        <w:rPr>
          <w:rFonts w:ascii="Gill Sans MT" w:hAnsi="Gill Sans MT"/>
          <w:color w:val="71A276"/>
          <w:sz w:val="22"/>
        </w:rPr>
        <w:t>INANCIAL </w:t>
      </w:r>
      <w:r>
        <w:rPr>
          <w:rFonts w:ascii="Gill Sans MT" w:hAnsi="Gill Sans MT"/>
          <w:color w:val="71A276"/>
          <w:sz w:val="28"/>
        </w:rPr>
        <w:t>Y</w:t>
      </w:r>
      <w:r>
        <w:rPr>
          <w:rFonts w:ascii="Gill Sans MT" w:hAnsi="Gill Sans MT"/>
          <w:color w:val="71A276"/>
          <w:sz w:val="22"/>
        </w:rPr>
        <w:t>EARS </w:t>
      </w:r>
      <w:r>
        <w:rPr>
          <w:rFonts w:ascii="Gill Sans MT" w:hAnsi="Gill Sans MT"/>
          <w:color w:val="71A276"/>
          <w:sz w:val="28"/>
        </w:rPr>
        <w:t>J</w:t>
      </w:r>
      <w:r>
        <w:rPr>
          <w:rFonts w:ascii="Gill Sans MT" w:hAnsi="Gill Sans MT"/>
          <w:color w:val="71A276"/>
          <w:sz w:val="22"/>
        </w:rPr>
        <w:t>ULY </w:t>
      </w:r>
      <w:r>
        <w:rPr>
          <w:rFonts w:ascii="Gill Sans MT" w:hAnsi="Gill Sans MT"/>
          <w:color w:val="71A276"/>
          <w:sz w:val="28"/>
        </w:rPr>
        <w:t>2009 – J</w:t>
      </w:r>
      <w:r>
        <w:rPr>
          <w:rFonts w:ascii="Gill Sans MT" w:hAnsi="Gill Sans MT"/>
          <w:color w:val="71A276"/>
          <w:sz w:val="22"/>
        </w:rPr>
        <w:t>UNE </w:t>
      </w:r>
      <w:r>
        <w:rPr>
          <w:rFonts w:ascii="Gill Sans MT" w:hAnsi="Gill Sans MT"/>
          <w:color w:val="71A276"/>
          <w:sz w:val="28"/>
        </w:rPr>
        <w:t>2020</w:t>
      </w:r>
    </w:p>
    <w:p>
      <w:pPr>
        <w:spacing w:after="0" w:line="364" w:lineRule="auto"/>
        <w:jc w:val="left"/>
        <w:rPr>
          <w:rFonts w:ascii="Gill Sans MT" w:hAnsi="Gill Sans MT"/>
          <w:sz w:val="28"/>
        </w:rPr>
        <w:sectPr>
          <w:type w:val="continuous"/>
          <w:pgSz w:w="16840" w:h="11910" w:orient="landscape"/>
          <w:pgMar w:top="1100" w:bottom="280" w:left="580" w:right="620"/>
          <w:cols w:num="2" w:equalWidth="0">
            <w:col w:w="7640" w:space="188"/>
            <w:col w:w="7812"/>
          </w:cols>
        </w:sectPr>
      </w:pPr>
    </w:p>
    <w:p>
      <w:pPr>
        <w:pStyle w:val="Heading3"/>
        <w:spacing w:before="105"/>
      </w:pPr>
      <w:r>
        <w:rPr>
          <w:color w:val="71A276"/>
          <w:w w:val="105"/>
          <w:sz w:val="32"/>
        </w:rPr>
        <w:t>L</w:t>
      </w:r>
      <w:r>
        <w:rPr>
          <w:color w:val="71A276"/>
          <w:w w:val="105"/>
        </w:rPr>
        <w:t>OBBYISTS FUNCTION</w:t>
      </w:r>
    </w:p>
    <w:p>
      <w:pPr>
        <w:pStyle w:val="Heading5"/>
        <w:spacing w:before="204"/>
        <w:jc w:val="both"/>
      </w:pPr>
      <w:r>
        <w:rPr>
          <w:w w:val="110"/>
        </w:rPr>
        <w:t>Post-Separation Restraints</w:t>
      </w:r>
    </w:p>
    <w:p>
      <w:pPr>
        <w:pStyle w:val="BodyText"/>
        <w:spacing w:line="276" w:lineRule="auto" w:before="156"/>
        <w:ind w:left="245" w:right="45"/>
        <w:jc w:val="both"/>
      </w:pPr>
      <w:r>
        <w:rPr/>
        <w:t>Historically, there are public concerns that former senior public officials or public servants might seek to personally benefit from the networks and information gained through public</w:t>
      </w:r>
      <w:r>
        <w:rPr>
          <w:spacing w:val="-2"/>
        </w:rPr>
        <w:t> </w:t>
      </w:r>
      <w:r>
        <w:rPr/>
        <w:t>service.</w:t>
      </w:r>
    </w:p>
    <w:p>
      <w:pPr>
        <w:pStyle w:val="BodyText"/>
        <w:spacing w:line="276" w:lineRule="auto" w:before="120"/>
        <w:ind w:left="245" w:right="38"/>
        <w:jc w:val="both"/>
      </w:pPr>
      <w:r>
        <w:rPr/>
        <w:t>Section 70 of the </w:t>
      </w:r>
      <w:r>
        <w:rPr>
          <w:i/>
        </w:rPr>
        <w:t>Integrity Act 2009 </w:t>
      </w:r>
      <w:r>
        <w:rPr/>
        <w:t>prohibits a ‘former senior government representative’, which includes a former ministerial staff member, from carrying out ‘related lobbying activity’ for a ‘third party client’ within two years of their separation from Queensland public sector</w:t>
      </w:r>
      <w:r>
        <w:rPr>
          <w:spacing w:val="-3"/>
        </w:rPr>
        <w:t> </w:t>
      </w:r>
      <w:r>
        <w:rPr/>
        <w:t>employment.</w:t>
      </w:r>
    </w:p>
    <w:p>
      <w:pPr>
        <w:pStyle w:val="BodyText"/>
        <w:spacing w:line="276" w:lineRule="auto" w:before="121"/>
        <w:ind w:left="245" w:right="38"/>
        <w:jc w:val="both"/>
      </w:pPr>
      <w:r>
        <w:rPr/>
        <w:t>‘Related lobbying activity’ refers to matters in which the ‘former senior government representative’ has had ‘official dealings’ in the two years prior to separation.</w:t>
      </w:r>
    </w:p>
    <w:p>
      <w:pPr>
        <w:pStyle w:val="BodyText"/>
        <w:spacing w:line="276" w:lineRule="auto" w:before="120"/>
        <w:ind w:left="245" w:right="41"/>
        <w:jc w:val="both"/>
      </w:pPr>
      <w:r>
        <w:rPr/>
        <w:t>While not defined in the </w:t>
      </w:r>
      <w:r>
        <w:rPr>
          <w:i/>
        </w:rPr>
        <w:t>Integrity Act 2009</w:t>
      </w:r>
      <w:r>
        <w:rPr/>
        <w:t>, the Integrity Commissioner considers that ‘official dealings’ would include even formal attendance at briefings or receiving confidential analysis on a particular matter.</w:t>
      </w:r>
    </w:p>
    <w:p>
      <w:pPr>
        <w:pStyle w:val="BodyText"/>
        <w:spacing w:line="276" w:lineRule="auto" w:before="121"/>
        <w:ind w:left="245" w:right="39"/>
        <w:jc w:val="both"/>
      </w:pPr>
      <w:r>
        <w:rPr/>
        <w:t>There is also an obligation under the </w:t>
      </w:r>
      <w:r>
        <w:rPr>
          <w:i/>
        </w:rPr>
        <w:t>Integrity Act 2009 </w:t>
      </w:r>
      <w:r>
        <w:rPr/>
        <w:t>(section 71(2)) on current ministerial and government employees to not meet with any ‘former senior government representative’ in circumstances that would give rise to a breach of the post-separation restraints, including with respect to lobbying.</w:t>
      </w:r>
    </w:p>
    <w:p>
      <w:pPr>
        <w:pStyle w:val="BodyText"/>
        <w:spacing w:line="276" w:lineRule="auto" w:before="120"/>
        <w:ind w:left="245" w:right="38"/>
        <w:jc w:val="both"/>
      </w:pPr>
      <w:r>
        <w:rPr/>
        <w:t>The lobbying provisions of the </w:t>
      </w:r>
      <w:r>
        <w:rPr>
          <w:i/>
        </w:rPr>
        <w:t>Integrity Act 2009 </w:t>
      </w:r>
      <w:r>
        <w:rPr/>
        <w:t>were extensively reviewed in the 2015 ‘Strategic Review of the Functions of the Integrity Commissioner’ and the ‘Inquiry into the Report on the Strategic Review of the functions of the Integrity Commissioner’ by the then Parliament Finance and Administration Committee in December 2015.</w:t>
      </w:r>
    </w:p>
    <w:p>
      <w:pPr>
        <w:pStyle w:val="BodyText"/>
        <w:spacing w:line="276" w:lineRule="auto" w:before="121"/>
        <w:ind w:left="245" w:right="44"/>
        <w:jc w:val="both"/>
      </w:pPr>
      <w:r>
        <w:rPr/>
        <w:t>The Integrity Commissioner acknowledges the heightened concerns about lobbying and post-separation matters and therefore supports any further overall review of these provisions of the </w:t>
      </w:r>
      <w:r>
        <w:rPr>
          <w:i/>
        </w:rPr>
        <w:t>Integrity Act 2009 </w:t>
      </w:r>
      <w:r>
        <w:rPr/>
        <w:t>as part of the Strategic Review of the Integrity Commissioner’s functions next due in 2021.</w:t>
      </w:r>
    </w:p>
    <w:p>
      <w:pPr>
        <w:pStyle w:val="BodyText"/>
      </w:pPr>
    </w:p>
    <w:p>
      <w:pPr>
        <w:pStyle w:val="BodyText"/>
        <w:spacing w:before="10"/>
        <w:rPr>
          <w:sz w:val="22"/>
        </w:rPr>
      </w:pPr>
    </w:p>
    <w:p>
      <w:pPr>
        <w:pStyle w:val="Heading5"/>
        <w:jc w:val="both"/>
      </w:pPr>
      <w:r>
        <w:rPr>
          <w:w w:val="110"/>
        </w:rPr>
        <w:t>Number of requests about post-separation restraints</w:t>
      </w:r>
    </w:p>
    <w:p>
      <w:pPr>
        <w:pStyle w:val="BodyText"/>
        <w:spacing w:line="276" w:lineRule="auto" w:before="159"/>
        <w:ind w:left="245" w:right="44"/>
        <w:jc w:val="both"/>
      </w:pPr>
      <w:r>
        <w:rPr/>
        <w:t>Included in the overall number of advice requests are 12 written advices provided in response to requests from current or former public officials, ministerial staff, or public servants, in relation to their post-separation obligations.</w:t>
      </w:r>
    </w:p>
    <w:p>
      <w:pPr>
        <w:pStyle w:val="Heading3"/>
        <w:spacing w:before="86"/>
      </w:pPr>
      <w:r>
        <w:rPr>
          <w:b w:val="0"/>
        </w:rPr>
        <w:br w:type="column"/>
      </w:r>
      <w:r>
        <w:rPr>
          <w:color w:val="71A276"/>
          <w:w w:val="105"/>
          <w:sz w:val="32"/>
        </w:rPr>
        <w:t>P</w:t>
      </w:r>
      <w:r>
        <w:rPr>
          <w:color w:val="71A276"/>
          <w:w w:val="105"/>
        </w:rPr>
        <w:t>UBLIC AWARENESS FUNCTION</w:t>
      </w:r>
    </w:p>
    <w:p>
      <w:pPr>
        <w:pStyle w:val="BodyText"/>
        <w:spacing w:line="276" w:lineRule="auto" w:before="221"/>
        <w:ind w:left="245" w:right="188"/>
        <w:jc w:val="both"/>
      </w:pPr>
      <w:r>
        <w:rPr/>
        <w:t>The Integrity Commissioner is statutorily obliged, under section 7(1)(d) of the </w:t>
      </w:r>
      <w:r>
        <w:rPr>
          <w:i/>
        </w:rPr>
        <w:t>Integrity Act </w:t>
      </w:r>
      <w:r>
        <w:rPr>
          <w:i/>
        </w:rPr>
        <w:t>2009 </w:t>
      </w:r>
      <w:r>
        <w:rPr/>
        <w:t>to raise public awareness of ethics or integrity issues by contributing to public discussion about the Integrity Commissioner’s functions, and by raising public awareness of ethics and integrity issues more generally.</w:t>
      </w:r>
    </w:p>
    <w:p>
      <w:pPr>
        <w:pStyle w:val="BodyText"/>
        <w:spacing w:line="276" w:lineRule="auto" w:before="120"/>
        <w:ind w:left="245" w:right="194"/>
        <w:jc w:val="both"/>
      </w:pPr>
      <w:r>
        <w:rPr/>
        <w:t>Ethics and integrity issues are entwined in a broad range of matters concerning government structure, practices and policies, and contributions to enhanced awareness is important.</w:t>
      </w:r>
    </w:p>
    <w:p>
      <w:pPr>
        <w:pStyle w:val="Heading5"/>
        <w:spacing w:before="123"/>
        <w:jc w:val="both"/>
      </w:pPr>
      <w:r>
        <w:rPr>
          <w:w w:val="110"/>
        </w:rPr>
        <w:t>Delivering the message across Queensland</w:t>
      </w:r>
    </w:p>
    <w:p>
      <w:pPr>
        <w:pStyle w:val="BodyText"/>
        <w:spacing w:line="276" w:lineRule="auto" w:before="158"/>
        <w:ind w:left="245" w:right="194"/>
        <w:jc w:val="both"/>
      </w:pPr>
      <w:r>
        <w:rPr/>
        <w:t>Throughout 2019-2020, the Integrity Commissioner had 103 interactions, delivering 32 information sessions to bodies such as statutory boards, local government and other public sector entities; 19 preliminary education events (seminars, conferences etc.), and participated in 52 office of the Queensland Integrity Commissioner facilitated committee meetings, other meetings, and events.</w:t>
      </w:r>
    </w:p>
    <w:p>
      <w:pPr>
        <w:pStyle w:val="BodyText"/>
        <w:spacing w:line="276" w:lineRule="auto" w:before="121"/>
        <w:ind w:left="245" w:right="195"/>
        <w:jc w:val="both"/>
      </w:pPr>
      <w:r>
        <w:rPr/>
        <w:t>In discharging this area of responsibility, the Integrity Commissioner collaborated on a number of shared initiatives with other members of the Integrity Committee including:</w:t>
      </w:r>
    </w:p>
    <w:p>
      <w:pPr>
        <w:pStyle w:val="ListParagraph"/>
        <w:numPr>
          <w:ilvl w:val="0"/>
          <w:numId w:val="3"/>
        </w:numPr>
        <w:tabs>
          <w:tab w:pos="606" w:val="left" w:leader="none"/>
        </w:tabs>
        <w:spacing w:line="276" w:lineRule="auto" w:before="117" w:after="0"/>
        <w:ind w:left="605" w:right="189" w:hanging="361"/>
        <w:jc w:val="both"/>
        <w:rPr>
          <w:sz w:val="20"/>
        </w:rPr>
      </w:pPr>
      <w:r>
        <w:rPr>
          <w:sz w:val="20"/>
        </w:rPr>
        <w:t>the Public Safety and Associated Agencies International Women’s Day event to support and champion women within the Queensland Police Service, Queensland Corrective Services, Queensland Fire and Emergency Services, Inspector-General Emergency Management, Queensland Integrity Commissioner and Crime and Corruption</w:t>
      </w:r>
      <w:r>
        <w:rPr>
          <w:spacing w:val="-1"/>
          <w:sz w:val="20"/>
        </w:rPr>
        <w:t> </w:t>
      </w:r>
      <w:r>
        <w:rPr>
          <w:sz w:val="20"/>
        </w:rPr>
        <w:t>Commission.</w:t>
      </w:r>
    </w:p>
    <w:p>
      <w:pPr>
        <w:pStyle w:val="ListParagraph"/>
        <w:numPr>
          <w:ilvl w:val="0"/>
          <w:numId w:val="3"/>
        </w:numPr>
        <w:tabs>
          <w:tab w:pos="606" w:val="left" w:leader="none"/>
        </w:tabs>
        <w:spacing w:line="276" w:lineRule="auto" w:before="54" w:after="0"/>
        <w:ind w:left="605" w:right="187" w:hanging="361"/>
        <w:jc w:val="both"/>
        <w:rPr>
          <w:sz w:val="20"/>
        </w:rPr>
      </w:pPr>
      <w:r>
        <w:rPr>
          <w:sz w:val="20"/>
        </w:rPr>
        <w:t>as co-patron of the Public Safety and Integrity Agencies Women’s Network (‘Leading Women’), including by contributing as co-hosts alongside the Crime and Corruption Commission and the Inspector-General Emergency Management to the ‘Leading Women’s Podcast’</w:t>
      </w:r>
      <w:r>
        <w:rPr>
          <w:spacing w:val="-2"/>
          <w:sz w:val="20"/>
        </w:rPr>
        <w:t> </w:t>
      </w:r>
      <w:r>
        <w:rPr>
          <w:sz w:val="20"/>
        </w:rPr>
        <w:t>event.</w:t>
      </w:r>
    </w:p>
    <w:p>
      <w:pPr>
        <w:pStyle w:val="ListParagraph"/>
        <w:numPr>
          <w:ilvl w:val="0"/>
          <w:numId w:val="3"/>
        </w:numPr>
        <w:tabs>
          <w:tab w:pos="606" w:val="left" w:leader="none"/>
        </w:tabs>
        <w:spacing w:line="276" w:lineRule="auto" w:before="57" w:after="0"/>
        <w:ind w:left="605" w:right="189" w:hanging="361"/>
        <w:jc w:val="both"/>
        <w:rPr>
          <w:sz w:val="20"/>
        </w:rPr>
      </w:pPr>
      <w:r>
        <w:rPr>
          <w:sz w:val="20"/>
        </w:rPr>
        <w:t>the ‘Making 2020 local government elections #fairforall’ campaign together with the Crime and Corruption Commission, Electoral Commission of Queensland and the Office of the Independent</w:t>
      </w:r>
      <w:r>
        <w:rPr>
          <w:spacing w:val="-5"/>
          <w:sz w:val="20"/>
        </w:rPr>
        <w:t> </w:t>
      </w:r>
      <w:r>
        <w:rPr>
          <w:sz w:val="20"/>
        </w:rPr>
        <w:t>Assessor.</w:t>
      </w:r>
    </w:p>
    <w:p>
      <w:pPr>
        <w:pStyle w:val="ListParagraph"/>
        <w:numPr>
          <w:ilvl w:val="0"/>
          <w:numId w:val="3"/>
        </w:numPr>
        <w:tabs>
          <w:tab w:pos="606" w:val="left" w:leader="none"/>
        </w:tabs>
        <w:spacing w:line="276" w:lineRule="auto" w:before="57" w:after="0"/>
        <w:ind w:left="605" w:right="194" w:hanging="361"/>
        <w:jc w:val="both"/>
        <w:rPr>
          <w:sz w:val="20"/>
        </w:rPr>
      </w:pPr>
      <w:r>
        <w:rPr>
          <w:sz w:val="20"/>
        </w:rPr>
        <w:t>the ‘Local Government: Roles and Functions of Queensland Integrity Agencies Live Webcast’ together with the Crime and Corruption Commission and the Office of the Independent</w:t>
      </w:r>
      <w:r>
        <w:rPr>
          <w:spacing w:val="-1"/>
          <w:sz w:val="20"/>
        </w:rPr>
        <w:t> </w:t>
      </w:r>
      <w:r>
        <w:rPr>
          <w:sz w:val="20"/>
        </w:rPr>
        <w:t>Assessor.</w:t>
      </w:r>
    </w:p>
    <w:p>
      <w:pPr>
        <w:spacing w:after="0" w:line="276" w:lineRule="auto"/>
        <w:jc w:val="both"/>
        <w:rPr>
          <w:sz w:val="20"/>
        </w:rPr>
        <w:sectPr>
          <w:pgSz w:w="16840" w:h="11910" w:orient="landscape"/>
          <w:pgMar w:header="0" w:footer="360" w:top="760" w:bottom="540" w:left="580" w:right="620"/>
          <w:cols w:num="2" w:equalWidth="0">
            <w:col w:w="7643" w:space="204"/>
            <w:col w:w="7793"/>
          </w:cols>
        </w:sectPr>
      </w:pPr>
    </w:p>
    <w:p>
      <w:pPr>
        <w:pStyle w:val="Heading2"/>
      </w:pPr>
      <w:r>
        <w:rPr>
          <w:color w:val="71A276"/>
          <w:w w:val="110"/>
        </w:rPr>
        <w:t>Public awareness function</w:t>
      </w:r>
    </w:p>
    <w:p>
      <w:pPr>
        <w:pStyle w:val="Heading5"/>
        <w:spacing w:before="237"/>
      </w:pPr>
      <w:r>
        <w:rPr>
          <w:w w:val="110"/>
        </w:rPr>
        <w:t>attendance</w:t>
      </w:r>
    </w:p>
    <w:p>
      <w:pPr>
        <w:pStyle w:val="BodyText"/>
        <w:spacing w:line="276" w:lineRule="auto" w:before="159"/>
        <w:ind w:left="245" w:right="42"/>
        <w:jc w:val="both"/>
      </w:pPr>
      <w:r>
        <w:rPr/>
        <w:t>The Integrity Commissioner travelled to Townsville to present to the North Queensland Regional Organisation of Councils in July 2019.</w:t>
      </w:r>
    </w:p>
    <w:p>
      <w:pPr>
        <w:pStyle w:val="BodyText"/>
        <w:spacing w:line="276" w:lineRule="auto" w:before="120"/>
        <w:ind w:left="245" w:right="38"/>
        <w:jc w:val="both"/>
      </w:pPr>
      <w:r>
        <w:rPr/>
        <w:t>As well, whilst the Integrity Commissioner was acting as the Health Ombudsman, the Acting Integrity Commissioner, Mr Mark Glen, travelled to Cairns in October 2019 to attend the Local Government Association of Queensland Annual Conference.</w:t>
      </w:r>
    </w:p>
    <w:p>
      <w:pPr>
        <w:pStyle w:val="BodyText"/>
        <w:spacing w:line="276" w:lineRule="auto" w:before="120"/>
        <w:ind w:left="245" w:right="38"/>
        <w:jc w:val="both"/>
      </w:pPr>
      <w:r>
        <w:rPr/>
        <w:t>As part of her commitment to ongoing professional development, the Integrity Commissioner attended a number of conferences and seminars, including in person at the Governance Institute of Australia National Conference in Sydney and the Australia Public Sector Anti-Corruption Conference in Melbourne; as well as taking part in a number of online seminars and events.</w:t>
      </w:r>
    </w:p>
    <w:p>
      <w:pPr>
        <w:pStyle w:val="BodyText"/>
      </w:pPr>
    </w:p>
    <w:p>
      <w:pPr>
        <w:pStyle w:val="BodyText"/>
        <w:spacing w:before="11"/>
        <w:rPr>
          <w:sz w:val="22"/>
        </w:rPr>
      </w:pPr>
    </w:p>
    <w:p>
      <w:pPr>
        <w:pStyle w:val="Heading5"/>
      </w:pPr>
      <w:r>
        <w:rPr>
          <w:w w:val="105"/>
        </w:rPr>
        <w:t>Resources &amp; development</w:t>
      </w:r>
    </w:p>
    <w:p>
      <w:pPr>
        <w:pStyle w:val="BodyText"/>
        <w:spacing w:line="276" w:lineRule="auto" w:before="157"/>
        <w:ind w:left="245" w:right="40"/>
        <w:jc w:val="both"/>
      </w:pPr>
      <w:r>
        <w:rPr/>
        <w:t>To meet the need for training and education within the context of a pandemic, the office of the Integrity Commissioner sought to gain some new skills and have added developing podcasts to their broadening repertoire.</w:t>
      </w:r>
    </w:p>
    <w:p>
      <w:pPr>
        <w:pStyle w:val="BodyText"/>
        <w:spacing w:line="276" w:lineRule="auto" w:before="120"/>
        <w:ind w:left="245" w:right="40"/>
        <w:jc w:val="both"/>
      </w:pPr>
      <w:r>
        <w:rPr/>
        <w:t>To date the Integrity Commissioner, staff, and various key collaborators have developed two podcast series:</w:t>
      </w:r>
    </w:p>
    <w:p>
      <w:pPr>
        <w:pStyle w:val="ListParagraph"/>
        <w:numPr>
          <w:ilvl w:val="0"/>
          <w:numId w:val="3"/>
        </w:numPr>
        <w:tabs>
          <w:tab w:pos="605" w:val="left" w:leader="none"/>
          <w:tab w:pos="606" w:val="left" w:leader="none"/>
        </w:tabs>
        <w:spacing w:line="240" w:lineRule="auto" w:before="117" w:after="0"/>
        <w:ind w:left="605" w:right="0" w:hanging="361"/>
        <w:jc w:val="left"/>
        <w:rPr>
          <w:sz w:val="20"/>
        </w:rPr>
      </w:pPr>
      <w:r>
        <w:rPr>
          <w:sz w:val="20"/>
        </w:rPr>
        <w:t>the Leading Women’s series,</w:t>
      </w:r>
      <w:r>
        <w:rPr>
          <w:spacing w:val="-5"/>
          <w:sz w:val="20"/>
        </w:rPr>
        <w:t> </w:t>
      </w:r>
      <w:r>
        <w:rPr>
          <w:sz w:val="20"/>
        </w:rPr>
        <w:t>and</w:t>
      </w:r>
    </w:p>
    <w:p>
      <w:pPr>
        <w:pStyle w:val="ListParagraph"/>
        <w:numPr>
          <w:ilvl w:val="0"/>
          <w:numId w:val="3"/>
        </w:numPr>
        <w:tabs>
          <w:tab w:pos="605" w:val="left" w:leader="none"/>
          <w:tab w:pos="606" w:val="left" w:leader="none"/>
        </w:tabs>
        <w:spacing w:line="240" w:lineRule="auto" w:before="153" w:after="0"/>
        <w:ind w:left="605" w:right="0" w:hanging="361"/>
        <w:jc w:val="left"/>
        <w:rPr>
          <w:sz w:val="20"/>
        </w:rPr>
      </w:pPr>
      <w:r>
        <w:rPr>
          <w:sz w:val="20"/>
        </w:rPr>
        <w:t>the Integrity in Health series.</w:t>
      </w:r>
    </w:p>
    <w:p>
      <w:pPr>
        <w:pStyle w:val="BodyText"/>
        <w:spacing w:line="276" w:lineRule="auto" w:before="157"/>
        <w:ind w:left="245" w:right="38"/>
        <w:jc w:val="both"/>
      </w:pPr>
      <w:r>
        <w:rPr/>
        <w:t>Interest issues are becoming increasingly more complex, more varied, and less visible. Therefore, maintaining recency of training and education, are critical to ensure modern and ethical professional practice standards are maintained.</w:t>
      </w:r>
    </w:p>
    <w:p>
      <w:pPr>
        <w:pStyle w:val="BodyText"/>
        <w:spacing w:line="276" w:lineRule="auto" w:before="120"/>
        <w:ind w:left="245" w:right="40"/>
        <w:jc w:val="both"/>
      </w:pPr>
      <w:r>
        <w:rPr/>
        <w:t>The office of the Integrity Commissioner has particular expertise in delivering education and training, and developing resources, including Conflict of Interest Meeting Aids, for Queensland Government multi-member decision-making boards and bodies.</w:t>
      </w:r>
    </w:p>
    <w:p>
      <w:pPr>
        <w:pStyle w:val="BodyText"/>
        <w:rPr>
          <w:sz w:val="22"/>
        </w:rPr>
      </w:pPr>
      <w:r>
        <w:rPr/>
        <w:br w:type="column"/>
      </w:r>
      <w:r>
        <w:rPr>
          <w:sz w:val="22"/>
        </w:rPr>
      </w:r>
    </w:p>
    <w:p>
      <w:pPr>
        <w:pStyle w:val="BodyText"/>
        <w:spacing w:before="10"/>
        <w:rPr>
          <w:sz w:val="25"/>
        </w:rPr>
      </w:pPr>
    </w:p>
    <w:p>
      <w:pPr>
        <w:pStyle w:val="Heading5"/>
        <w:jc w:val="both"/>
      </w:pPr>
      <w:r>
        <w:rPr>
          <w:w w:val="105"/>
        </w:rPr>
        <w:t>Leading women’s event</w:t>
      </w:r>
    </w:p>
    <w:p>
      <w:pPr>
        <w:pStyle w:val="BodyText"/>
        <w:spacing w:line="276" w:lineRule="auto" w:before="157"/>
        <w:ind w:left="245" w:right="189"/>
        <w:jc w:val="both"/>
      </w:pPr>
      <w:r>
        <w:rPr/>
        <w:t>Leading Women is an inter-agency women’s network including partner agencies: Queensland Police Service; Queensland Fire and Emergency Services; Public Safety Business Agency; the Crime and Corruption Commission, and Queensland Corrective Services.</w:t>
      </w:r>
    </w:p>
    <w:p>
      <w:pPr>
        <w:pStyle w:val="BodyText"/>
        <w:spacing w:line="276" w:lineRule="auto" w:before="120"/>
        <w:ind w:left="245" w:right="194"/>
        <w:jc w:val="both"/>
      </w:pPr>
      <w:r>
        <w:rPr/>
        <w:t>On 15 May 2020, the event was delivered in a different format given the unprecedented times we are facing due to the current health crisis.</w:t>
      </w:r>
    </w:p>
    <w:p>
      <w:pPr>
        <w:pStyle w:val="BodyText"/>
        <w:spacing w:line="276" w:lineRule="auto" w:before="120"/>
        <w:ind w:left="245" w:right="195"/>
        <w:jc w:val="both"/>
      </w:pPr>
      <w:r>
        <w:rPr/>
        <w:t>We launched a series of podcast interviews with representatives from our partner agencies, who share their views on the topic of “Inclusion, not just diversity”, including:</w:t>
      </w:r>
    </w:p>
    <w:p>
      <w:pPr>
        <w:pStyle w:val="ListParagraph"/>
        <w:numPr>
          <w:ilvl w:val="0"/>
          <w:numId w:val="3"/>
        </w:numPr>
        <w:tabs>
          <w:tab w:pos="605" w:val="left" w:leader="none"/>
          <w:tab w:pos="606" w:val="left" w:leader="none"/>
        </w:tabs>
        <w:spacing w:line="240" w:lineRule="auto" w:before="117" w:after="0"/>
        <w:ind w:left="606" w:right="0" w:hanging="361"/>
        <w:jc w:val="left"/>
        <w:rPr>
          <w:sz w:val="20"/>
        </w:rPr>
      </w:pPr>
      <w:r>
        <w:rPr>
          <w:sz w:val="20"/>
        </w:rPr>
        <w:t>Dr Kevin Cocks AM, former Queensland Anti-Discrimination</w:t>
      </w:r>
      <w:r>
        <w:rPr>
          <w:spacing w:val="-8"/>
          <w:sz w:val="20"/>
        </w:rPr>
        <w:t> </w:t>
      </w:r>
      <w:r>
        <w:rPr>
          <w:sz w:val="20"/>
        </w:rPr>
        <w:t>Commissioner</w:t>
      </w:r>
    </w:p>
    <w:p>
      <w:pPr>
        <w:pStyle w:val="ListParagraph"/>
        <w:numPr>
          <w:ilvl w:val="0"/>
          <w:numId w:val="3"/>
        </w:numPr>
        <w:tabs>
          <w:tab w:pos="605" w:val="left" w:leader="none"/>
          <w:tab w:pos="606" w:val="left" w:leader="none"/>
        </w:tabs>
        <w:spacing w:line="240" w:lineRule="auto" w:before="194" w:after="0"/>
        <w:ind w:left="606" w:right="0" w:hanging="361"/>
        <w:jc w:val="left"/>
        <w:rPr>
          <w:sz w:val="20"/>
        </w:rPr>
      </w:pPr>
      <w:r>
        <w:rPr>
          <w:sz w:val="20"/>
        </w:rPr>
        <w:t>Katarina Carroll APM, Queensland Police Service</w:t>
      </w:r>
      <w:r>
        <w:rPr>
          <w:spacing w:val="-5"/>
          <w:sz w:val="20"/>
        </w:rPr>
        <w:t> </w:t>
      </w:r>
      <w:r>
        <w:rPr>
          <w:sz w:val="20"/>
        </w:rPr>
        <w:t>Commissioner</w:t>
      </w:r>
    </w:p>
    <w:p>
      <w:pPr>
        <w:pStyle w:val="ListParagraph"/>
        <w:numPr>
          <w:ilvl w:val="0"/>
          <w:numId w:val="3"/>
        </w:numPr>
        <w:tabs>
          <w:tab w:pos="605" w:val="left" w:leader="none"/>
          <w:tab w:pos="606" w:val="left" w:leader="none"/>
        </w:tabs>
        <w:spacing w:line="240" w:lineRule="auto" w:before="192" w:after="0"/>
        <w:ind w:left="606" w:right="0" w:hanging="361"/>
        <w:jc w:val="left"/>
        <w:rPr>
          <w:sz w:val="20"/>
        </w:rPr>
      </w:pPr>
      <w:r>
        <w:rPr>
          <w:sz w:val="20"/>
        </w:rPr>
        <w:t>Peter Martin APM, Queensland Corrective Services</w:t>
      </w:r>
      <w:r>
        <w:rPr>
          <w:spacing w:val="-5"/>
          <w:sz w:val="20"/>
        </w:rPr>
        <w:t> </w:t>
      </w:r>
      <w:r>
        <w:rPr>
          <w:sz w:val="20"/>
        </w:rPr>
        <w:t>Commissioner</w:t>
      </w:r>
    </w:p>
    <w:p>
      <w:pPr>
        <w:pStyle w:val="ListParagraph"/>
        <w:numPr>
          <w:ilvl w:val="0"/>
          <w:numId w:val="3"/>
        </w:numPr>
        <w:tabs>
          <w:tab w:pos="605" w:val="left" w:leader="none"/>
          <w:tab w:pos="606" w:val="left" w:leader="none"/>
        </w:tabs>
        <w:spacing w:line="240" w:lineRule="auto" w:before="194" w:after="0"/>
        <w:ind w:left="606" w:right="0" w:hanging="361"/>
        <w:jc w:val="left"/>
        <w:rPr>
          <w:sz w:val="20"/>
        </w:rPr>
      </w:pPr>
      <w:r>
        <w:rPr>
          <w:sz w:val="20"/>
        </w:rPr>
        <w:t>Greg Leach, Queensland Fire and Emergency Services</w:t>
      </w:r>
      <w:r>
        <w:rPr>
          <w:spacing w:val="-4"/>
          <w:sz w:val="20"/>
        </w:rPr>
        <w:t> </w:t>
      </w:r>
      <w:r>
        <w:rPr>
          <w:sz w:val="20"/>
        </w:rPr>
        <w:t>Commissioner</w:t>
      </w:r>
    </w:p>
    <w:p>
      <w:pPr>
        <w:pStyle w:val="ListParagraph"/>
        <w:numPr>
          <w:ilvl w:val="0"/>
          <w:numId w:val="3"/>
        </w:numPr>
        <w:tabs>
          <w:tab w:pos="605" w:val="left" w:leader="none"/>
          <w:tab w:pos="606" w:val="left" w:leader="none"/>
        </w:tabs>
        <w:spacing w:line="240" w:lineRule="auto" w:before="192" w:after="0"/>
        <w:ind w:left="606" w:right="0" w:hanging="361"/>
        <w:jc w:val="left"/>
        <w:rPr>
          <w:sz w:val="20"/>
        </w:rPr>
      </w:pPr>
      <w:r>
        <w:rPr>
          <w:sz w:val="20"/>
        </w:rPr>
        <w:t>Alistair Dawson APM, Inspector-General Emergency</w:t>
      </w:r>
      <w:r>
        <w:rPr>
          <w:spacing w:val="-3"/>
          <w:sz w:val="20"/>
        </w:rPr>
        <w:t> </w:t>
      </w:r>
      <w:r>
        <w:rPr>
          <w:sz w:val="20"/>
        </w:rPr>
        <w:t>Management</w:t>
      </w:r>
    </w:p>
    <w:p>
      <w:pPr>
        <w:pStyle w:val="ListParagraph"/>
        <w:numPr>
          <w:ilvl w:val="0"/>
          <w:numId w:val="3"/>
        </w:numPr>
        <w:tabs>
          <w:tab w:pos="605" w:val="left" w:leader="none"/>
          <w:tab w:pos="606" w:val="left" w:leader="none"/>
        </w:tabs>
        <w:spacing w:line="240" w:lineRule="auto" w:before="194" w:after="0"/>
        <w:ind w:left="606" w:right="0" w:hanging="361"/>
        <w:jc w:val="left"/>
        <w:rPr>
          <w:sz w:val="20"/>
        </w:rPr>
      </w:pPr>
      <w:r>
        <w:rPr>
          <w:sz w:val="20"/>
        </w:rPr>
        <w:t>Kurt Marsden, Acting Chief Operating Officer, Public Safety Business</w:t>
      </w:r>
      <w:r>
        <w:rPr>
          <w:spacing w:val="-14"/>
          <w:sz w:val="20"/>
        </w:rPr>
        <w:t> </w:t>
      </w:r>
      <w:r>
        <w:rPr>
          <w:sz w:val="20"/>
        </w:rPr>
        <w:t>Agency</w:t>
      </w:r>
    </w:p>
    <w:p>
      <w:pPr>
        <w:pStyle w:val="ListParagraph"/>
        <w:numPr>
          <w:ilvl w:val="0"/>
          <w:numId w:val="3"/>
        </w:numPr>
        <w:tabs>
          <w:tab w:pos="605" w:val="left" w:leader="none"/>
          <w:tab w:pos="606" w:val="left" w:leader="none"/>
        </w:tabs>
        <w:spacing w:line="271" w:lineRule="auto" w:before="194" w:after="0"/>
        <w:ind w:left="606" w:right="189" w:hanging="361"/>
        <w:jc w:val="left"/>
        <w:rPr>
          <w:sz w:val="20"/>
        </w:rPr>
      </w:pPr>
      <w:r>
        <w:rPr>
          <w:sz w:val="20"/>
        </w:rPr>
        <w:t>Sarah March, Director, Governance and Reporting, Inspector-General Emergency Management</w:t>
      </w:r>
    </w:p>
    <w:p>
      <w:pPr>
        <w:pStyle w:val="ListParagraph"/>
        <w:numPr>
          <w:ilvl w:val="0"/>
          <w:numId w:val="3"/>
        </w:numPr>
        <w:tabs>
          <w:tab w:pos="605" w:val="left" w:leader="none"/>
          <w:tab w:pos="606" w:val="left" w:leader="none"/>
        </w:tabs>
        <w:spacing w:line="240" w:lineRule="auto" w:before="164" w:after="0"/>
        <w:ind w:left="606" w:right="0" w:hanging="361"/>
        <w:jc w:val="left"/>
        <w:rPr>
          <w:sz w:val="20"/>
        </w:rPr>
      </w:pPr>
      <w:r>
        <w:rPr>
          <w:sz w:val="20"/>
        </w:rPr>
        <w:t>Karen McCarthy, Senior Lawyer, Crime and Corruption Commission,</w:t>
      </w:r>
      <w:r>
        <w:rPr>
          <w:spacing w:val="-7"/>
          <w:sz w:val="20"/>
        </w:rPr>
        <w:t> </w:t>
      </w:r>
      <w:r>
        <w:rPr>
          <w:sz w:val="20"/>
        </w:rPr>
        <w:t>and</w:t>
      </w:r>
    </w:p>
    <w:p>
      <w:pPr>
        <w:pStyle w:val="ListParagraph"/>
        <w:numPr>
          <w:ilvl w:val="0"/>
          <w:numId w:val="3"/>
        </w:numPr>
        <w:tabs>
          <w:tab w:pos="605" w:val="left" w:leader="none"/>
          <w:tab w:pos="606" w:val="left" w:leader="none"/>
        </w:tabs>
        <w:spacing w:line="240" w:lineRule="auto" w:before="195" w:after="0"/>
        <w:ind w:left="606" w:right="0" w:hanging="361"/>
        <w:jc w:val="left"/>
        <w:rPr>
          <w:sz w:val="20"/>
        </w:rPr>
      </w:pPr>
      <w:r>
        <w:rPr/>
        <w:drawing>
          <wp:anchor distT="0" distB="0" distL="0" distR="0" allowOverlap="1" layoutInCell="1" locked="0" behindDoc="0" simplePos="0" relativeHeight="15744512">
            <wp:simplePos x="0" y="0"/>
            <wp:positionH relativeFrom="page">
              <wp:posOffset>6703034</wp:posOffset>
            </wp:positionH>
            <wp:positionV relativeFrom="paragraph">
              <wp:posOffset>491691</wp:posOffset>
            </wp:positionV>
            <wp:extent cx="1825197" cy="1252660"/>
            <wp:effectExtent l="0" t="0" r="0" b="0"/>
            <wp:wrapNone/>
            <wp:docPr id="45" name="image32.jpeg"/>
            <wp:cNvGraphicFramePr>
              <a:graphicFrameLocks noChangeAspect="1"/>
            </wp:cNvGraphicFramePr>
            <a:graphic>
              <a:graphicData uri="http://schemas.openxmlformats.org/drawingml/2006/picture">
                <pic:pic>
                  <pic:nvPicPr>
                    <pic:cNvPr id="46" name="image32.jpeg"/>
                    <pic:cNvPicPr/>
                  </pic:nvPicPr>
                  <pic:blipFill>
                    <a:blip r:embed="rId42" cstate="print"/>
                    <a:stretch>
                      <a:fillRect/>
                    </a:stretch>
                  </pic:blipFill>
                  <pic:spPr>
                    <a:xfrm>
                      <a:off x="0" y="0"/>
                      <a:ext cx="1825197" cy="1252660"/>
                    </a:xfrm>
                    <a:prstGeom prst="rect">
                      <a:avLst/>
                    </a:prstGeom>
                  </pic:spPr>
                </pic:pic>
              </a:graphicData>
            </a:graphic>
          </wp:anchor>
        </w:drawing>
      </w:r>
      <w:r>
        <w:rPr>
          <w:sz w:val="20"/>
        </w:rPr>
        <w:t>Dr Nikola Stepanov, Queensland Integrity</w:t>
      </w:r>
      <w:r>
        <w:rPr>
          <w:spacing w:val="-3"/>
          <w:sz w:val="20"/>
        </w:rPr>
        <w:t> </w:t>
      </w:r>
      <w:r>
        <w:rPr>
          <w:sz w:val="20"/>
        </w:rPr>
        <w:t>Commissioner.</w:t>
      </w:r>
    </w:p>
    <w:p>
      <w:pPr>
        <w:spacing w:after="0" w:line="240" w:lineRule="auto"/>
        <w:jc w:val="left"/>
        <w:rPr>
          <w:sz w:val="20"/>
        </w:rPr>
        <w:sectPr>
          <w:pgSz w:w="16840" w:h="11910" w:orient="landscape"/>
          <w:pgMar w:header="0" w:footer="360" w:top="820" w:bottom="540" w:left="580" w:right="620"/>
          <w:cols w:num="2" w:equalWidth="0">
            <w:col w:w="7636" w:space="191"/>
            <w:col w:w="7813"/>
          </w:cols>
        </w:sectPr>
      </w:pPr>
    </w:p>
    <w:p>
      <w:pPr>
        <w:pStyle w:val="Heading2"/>
        <w:jc w:val="both"/>
      </w:pPr>
      <w:r>
        <w:rPr>
          <w:color w:val="71A276"/>
          <w:w w:val="110"/>
        </w:rPr>
        <w:t>Public awareness function</w:t>
      </w:r>
    </w:p>
    <w:p>
      <w:pPr>
        <w:pStyle w:val="Heading5"/>
        <w:spacing w:before="237"/>
        <w:jc w:val="both"/>
      </w:pPr>
      <w:r>
        <w:rPr>
          <w:w w:val="110"/>
        </w:rPr>
        <w:t>Local government joint webinar</w:t>
      </w:r>
    </w:p>
    <w:p>
      <w:pPr>
        <w:pStyle w:val="BodyText"/>
        <w:spacing w:line="276" w:lineRule="auto" w:before="159"/>
        <w:ind w:left="245" w:right="39"/>
        <w:jc w:val="both"/>
      </w:pPr>
      <w:r>
        <w:rPr/>
        <w:t>On 20 May 2020, three of Queensland’s integrity agencies partnered to equip newly- elected and existing Local Government councillors and mayors with information to assist them in understanding the integrity agencies’ roles and functions, and the obligations these officials hold under their respective legislation.</w:t>
      </w:r>
    </w:p>
    <w:p>
      <w:pPr>
        <w:pStyle w:val="BodyText"/>
        <w:spacing w:before="120"/>
        <w:ind w:left="245"/>
        <w:jc w:val="both"/>
      </w:pPr>
      <w:r>
        <w:rPr/>
        <w:t>The webinar was hosted by the leaders of three of Queensland’s integrity agencies:</w:t>
      </w:r>
    </w:p>
    <w:p>
      <w:pPr>
        <w:pStyle w:val="ListParagraph"/>
        <w:numPr>
          <w:ilvl w:val="0"/>
          <w:numId w:val="3"/>
        </w:numPr>
        <w:tabs>
          <w:tab w:pos="605" w:val="left" w:leader="none"/>
          <w:tab w:pos="606" w:val="left" w:leader="none"/>
        </w:tabs>
        <w:spacing w:line="240" w:lineRule="auto" w:before="154" w:after="0"/>
        <w:ind w:left="605" w:right="0" w:hanging="361"/>
        <w:jc w:val="left"/>
        <w:rPr>
          <w:sz w:val="20"/>
        </w:rPr>
      </w:pPr>
      <w:r>
        <w:rPr>
          <w:sz w:val="20"/>
        </w:rPr>
        <w:t>Alan MacSporran QC, Chairperson of the Crime and Corruption</w:t>
      </w:r>
      <w:r>
        <w:rPr>
          <w:spacing w:val="-13"/>
          <w:sz w:val="20"/>
        </w:rPr>
        <w:t> </w:t>
      </w:r>
      <w:r>
        <w:rPr>
          <w:sz w:val="20"/>
        </w:rPr>
        <w:t>Commission</w:t>
      </w:r>
    </w:p>
    <w:p>
      <w:pPr>
        <w:pStyle w:val="ListParagraph"/>
        <w:numPr>
          <w:ilvl w:val="0"/>
          <w:numId w:val="3"/>
        </w:numPr>
        <w:tabs>
          <w:tab w:pos="605" w:val="left" w:leader="none"/>
          <w:tab w:pos="606" w:val="left" w:leader="none"/>
        </w:tabs>
        <w:spacing w:line="240" w:lineRule="auto" w:before="153" w:after="0"/>
        <w:ind w:left="605" w:right="0" w:hanging="361"/>
        <w:jc w:val="left"/>
        <w:rPr>
          <w:sz w:val="20"/>
        </w:rPr>
      </w:pPr>
      <w:r>
        <w:rPr>
          <w:sz w:val="20"/>
        </w:rPr>
        <w:t>Dr Nikola Stepanov, Queensland Integrity Commissioner,</w:t>
      </w:r>
      <w:r>
        <w:rPr>
          <w:spacing w:val="-4"/>
          <w:sz w:val="20"/>
        </w:rPr>
        <w:t> </w:t>
      </w:r>
      <w:r>
        <w:rPr>
          <w:sz w:val="20"/>
        </w:rPr>
        <w:t>and</w:t>
      </w:r>
    </w:p>
    <w:p>
      <w:pPr>
        <w:pStyle w:val="ListParagraph"/>
        <w:numPr>
          <w:ilvl w:val="0"/>
          <w:numId w:val="3"/>
        </w:numPr>
        <w:tabs>
          <w:tab w:pos="605" w:val="left" w:leader="none"/>
          <w:tab w:pos="606" w:val="left" w:leader="none"/>
        </w:tabs>
        <w:spacing w:line="240" w:lineRule="auto" w:before="153" w:after="0"/>
        <w:ind w:left="605" w:right="0" w:hanging="361"/>
        <w:jc w:val="left"/>
        <w:rPr>
          <w:sz w:val="20"/>
        </w:rPr>
      </w:pPr>
      <w:r>
        <w:rPr>
          <w:sz w:val="20"/>
        </w:rPr>
        <w:t>Kathleen Florian, Queensland Independent</w:t>
      </w:r>
      <w:r>
        <w:rPr>
          <w:spacing w:val="-2"/>
          <w:sz w:val="20"/>
        </w:rPr>
        <w:t> </w:t>
      </w:r>
      <w:r>
        <w:rPr>
          <w:sz w:val="20"/>
        </w:rPr>
        <w:t>Assessor.</w:t>
      </w:r>
    </w:p>
    <w:p>
      <w:pPr>
        <w:pStyle w:val="BodyText"/>
        <w:spacing w:line="276" w:lineRule="auto" w:before="154"/>
        <w:ind w:left="245" w:right="45"/>
        <w:jc w:val="both"/>
      </w:pPr>
      <w:r>
        <w:rPr/>
        <w:t>The 90-minute webinar covered matters including how to manage conflicts of interest, councillors’ obligations in relation to their registers of interest, and steps to ensure that a council has a robust framework to manage and deal with corruption and misconduct. Over 190 people registered for the webinar across Queensland, including many councillors and mayors.</w:t>
      </w:r>
    </w:p>
    <w:p>
      <w:pPr>
        <w:pStyle w:val="BodyText"/>
      </w:pPr>
    </w:p>
    <w:p>
      <w:pPr>
        <w:pStyle w:val="BodyText"/>
        <w:spacing w:before="4"/>
        <w:rPr>
          <w:sz w:val="25"/>
        </w:rPr>
      </w:pPr>
    </w:p>
    <w:p>
      <w:pPr>
        <w:pStyle w:val="Heading5"/>
        <w:jc w:val="both"/>
      </w:pPr>
      <w:r>
        <w:rPr>
          <w:w w:val="110"/>
        </w:rPr>
        <w:t>Integrity in health series</w:t>
      </w:r>
    </w:p>
    <w:p>
      <w:pPr>
        <w:pStyle w:val="BodyText"/>
        <w:spacing w:line="276" w:lineRule="auto" w:before="158"/>
        <w:ind w:left="245" w:right="38"/>
        <w:jc w:val="both"/>
      </w:pPr>
      <w:r>
        <w:rPr/>
        <w:t>Each year the office of the Integrity Commissioner, together with its supporting partners, including Health Ethics and Law Queensland (HEaL), arranges an ‘Integrity in Health‘ series of events. The topic for the 2019-2020 reporting year was ‘Mandatory reporting  for Health Professionals: What are the ethical and legal ramifications?’. As a result of the global pandemic, the series was provided by way of podcasts, and we were delighted to share our Integrity in Health journey with our</w:t>
      </w:r>
      <w:r>
        <w:rPr>
          <w:spacing w:val="-2"/>
        </w:rPr>
        <w:t> </w:t>
      </w:r>
      <w:r>
        <w:rPr/>
        <w:t>partners:</w:t>
      </w:r>
    </w:p>
    <w:p>
      <w:pPr>
        <w:pStyle w:val="ListParagraph"/>
        <w:numPr>
          <w:ilvl w:val="0"/>
          <w:numId w:val="3"/>
        </w:numPr>
        <w:tabs>
          <w:tab w:pos="605" w:val="left" w:leader="none"/>
          <w:tab w:pos="606" w:val="left" w:leader="none"/>
        </w:tabs>
        <w:spacing w:line="240" w:lineRule="auto" w:before="118" w:after="0"/>
        <w:ind w:left="605" w:right="0" w:hanging="361"/>
        <w:jc w:val="left"/>
        <w:rPr>
          <w:sz w:val="20"/>
        </w:rPr>
      </w:pPr>
      <w:r>
        <w:rPr>
          <w:sz w:val="20"/>
        </w:rPr>
        <w:t>the Office of the Health</w:t>
      </w:r>
      <w:r>
        <w:rPr>
          <w:spacing w:val="-6"/>
          <w:sz w:val="20"/>
        </w:rPr>
        <w:t> </w:t>
      </w:r>
      <w:r>
        <w:rPr>
          <w:sz w:val="20"/>
        </w:rPr>
        <w:t>Ombudsman</w:t>
      </w:r>
    </w:p>
    <w:p>
      <w:pPr>
        <w:pStyle w:val="ListParagraph"/>
        <w:numPr>
          <w:ilvl w:val="0"/>
          <w:numId w:val="3"/>
        </w:numPr>
        <w:tabs>
          <w:tab w:pos="605" w:val="left" w:leader="none"/>
          <w:tab w:pos="606" w:val="left" w:leader="none"/>
        </w:tabs>
        <w:spacing w:line="240" w:lineRule="auto" w:before="150" w:after="0"/>
        <w:ind w:left="605" w:right="0" w:hanging="361"/>
        <w:jc w:val="left"/>
        <w:rPr>
          <w:sz w:val="20"/>
        </w:rPr>
      </w:pPr>
      <w:r>
        <w:rPr>
          <w:sz w:val="20"/>
        </w:rPr>
        <w:t>Doctors’ Health In Queensland</w:t>
      </w:r>
    </w:p>
    <w:p>
      <w:pPr>
        <w:pStyle w:val="ListParagraph"/>
        <w:numPr>
          <w:ilvl w:val="0"/>
          <w:numId w:val="3"/>
        </w:numPr>
        <w:tabs>
          <w:tab w:pos="605" w:val="left" w:leader="none"/>
          <w:tab w:pos="606" w:val="left" w:leader="none"/>
        </w:tabs>
        <w:spacing w:line="240" w:lineRule="auto" w:before="154" w:after="0"/>
        <w:ind w:left="605" w:right="0" w:hanging="361"/>
        <w:jc w:val="left"/>
        <w:rPr>
          <w:sz w:val="20"/>
        </w:rPr>
      </w:pPr>
      <w:r>
        <w:rPr>
          <w:sz w:val="20"/>
        </w:rPr>
        <w:t>Avant,</w:t>
      </w:r>
      <w:r>
        <w:rPr>
          <w:spacing w:val="-1"/>
          <w:sz w:val="20"/>
        </w:rPr>
        <w:t> </w:t>
      </w:r>
      <w:r>
        <w:rPr>
          <w:sz w:val="20"/>
        </w:rPr>
        <w:t>and</w:t>
      </w:r>
    </w:p>
    <w:p>
      <w:pPr>
        <w:pStyle w:val="ListParagraph"/>
        <w:numPr>
          <w:ilvl w:val="0"/>
          <w:numId w:val="3"/>
        </w:numPr>
        <w:tabs>
          <w:tab w:pos="605" w:val="left" w:leader="none"/>
          <w:tab w:pos="606" w:val="left" w:leader="none"/>
        </w:tabs>
        <w:spacing w:line="240" w:lineRule="auto" w:before="153" w:after="0"/>
        <w:ind w:left="605" w:right="0" w:hanging="361"/>
        <w:jc w:val="left"/>
        <w:rPr>
          <w:sz w:val="20"/>
        </w:rPr>
      </w:pPr>
      <w:r>
        <w:rPr>
          <w:sz w:val="20"/>
        </w:rPr>
        <w:t>HEaL</w:t>
      </w:r>
      <w:r>
        <w:rPr>
          <w:spacing w:val="23"/>
          <w:sz w:val="20"/>
        </w:rPr>
        <w:t> </w:t>
      </w:r>
      <w:r>
        <w:rPr>
          <w:sz w:val="20"/>
        </w:rPr>
        <w:t>(which</w:t>
      </w:r>
      <w:r>
        <w:rPr>
          <w:spacing w:val="23"/>
          <w:sz w:val="20"/>
        </w:rPr>
        <w:t> </w:t>
      </w:r>
      <w:r>
        <w:rPr>
          <w:sz w:val="20"/>
        </w:rPr>
        <w:t>is</w:t>
      </w:r>
      <w:r>
        <w:rPr>
          <w:spacing w:val="22"/>
          <w:sz w:val="20"/>
        </w:rPr>
        <w:t> </w:t>
      </w:r>
      <w:r>
        <w:rPr>
          <w:sz w:val="20"/>
        </w:rPr>
        <w:t>the</w:t>
      </w:r>
      <w:r>
        <w:rPr>
          <w:spacing w:val="23"/>
          <w:sz w:val="20"/>
        </w:rPr>
        <w:t> </w:t>
      </w:r>
      <w:r>
        <w:rPr>
          <w:sz w:val="20"/>
        </w:rPr>
        <w:t>Queensland</w:t>
      </w:r>
      <w:r>
        <w:rPr>
          <w:spacing w:val="23"/>
          <w:sz w:val="20"/>
        </w:rPr>
        <w:t> </w:t>
      </w:r>
      <w:r>
        <w:rPr>
          <w:sz w:val="20"/>
        </w:rPr>
        <w:t>chapter</w:t>
      </w:r>
      <w:r>
        <w:rPr>
          <w:spacing w:val="23"/>
          <w:sz w:val="20"/>
        </w:rPr>
        <w:t> </w:t>
      </w:r>
      <w:r>
        <w:rPr>
          <w:sz w:val="20"/>
        </w:rPr>
        <w:t>of</w:t>
      </w:r>
      <w:r>
        <w:rPr>
          <w:spacing w:val="23"/>
          <w:sz w:val="20"/>
        </w:rPr>
        <w:t> </w:t>
      </w:r>
      <w:r>
        <w:rPr>
          <w:sz w:val="20"/>
        </w:rPr>
        <w:t>the</w:t>
      </w:r>
      <w:r>
        <w:rPr>
          <w:spacing w:val="22"/>
          <w:sz w:val="20"/>
        </w:rPr>
        <w:t> </w:t>
      </w:r>
      <w:r>
        <w:rPr>
          <w:sz w:val="20"/>
        </w:rPr>
        <w:t>Australasian</w:t>
      </w:r>
      <w:r>
        <w:rPr>
          <w:spacing w:val="25"/>
          <w:sz w:val="20"/>
        </w:rPr>
        <w:t> </w:t>
      </w:r>
      <w:r>
        <w:rPr>
          <w:sz w:val="20"/>
        </w:rPr>
        <w:t>Association</w:t>
      </w:r>
      <w:r>
        <w:rPr>
          <w:spacing w:val="24"/>
          <w:sz w:val="20"/>
        </w:rPr>
        <w:t> </w:t>
      </w:r>
      <w:r>
        <w:rPr>
          <w:sz w:val="20"/>
        </w:rPr>
        <w:t>of</w:t>
      </w:r>
      <w:r>
        <w:rPr>
          <w:spacing w:val="23"/>
          <w:sz w:val="20"/>
        </w:rPr>
        <w:t> </w:t>
      </w:r>
      <w:r>
        <w:rPr>
          <w:sz w:val="20"/>
        </w:rPr>
        <w:t>Bioethics</w:t>
      </w:r>
    </w:p>
    <w:p>
      <w:pPr>
        <w:pStyle w:val="BodyText"/>
        <w:spacing w:before="37"/>
        <w:ind w:left="605"/>
      </w:pPr>
      <w:r>
        <w:rPr/>
        <w:t>and Health Law (AABHL)).</w:t>
      </w:r>
    </w:p>
    <w:p>
      <w:pPr>
        <w:pStyle w:val="BodyText"/>
      </w:pPr>
      <w:r>
        <w:rPr/>
        <w:br w:type="column"/>
      </w:r>
      <w:r>
        <w:rPr/>
      </w:r>
    </w:p>
    <w:p>
      <w:pPr>
        <w:pStyle w:val="BodyText"/>
        <w:spacing w:before="7"/>
        <w:rPr>
          <w:sz w:val="29"/>
        </w:rPr>
      </w:pPr>
    </w:p>
    <w:p>
      <w:pPr>
        <w:pStyle w:val="BodyText"/>
        <w:spacing w:line="276" w:lineRule="auto" w:before="1"/>
        <w:ind w:left="246" w:right="205"/>
        <w:jc w:val="both"/>
      </w:pPr>
      <w:r>
        <w:rPr/>
        <w:t>The podcast series considered a range of topics around the mental health of health professionals, available avenues of assistance, as well as the ongoing effects of the COVID- 19, pandemic on medical professionals.</w:t>
      </w:r>
    </w:p>
    <w:p>
      <w:pPr>
        <w:pStyle w:val="BodyText"/>
        <w:spacing w:before="120"/>
        <w:ind w:left="246"/>
      </w:pPr>
      <w:r>
        <w:rPr/>
        <w:t>The Integrity in Health Series Podcast is available at:</w:t>
      </w:r>
      <w:r>
        <w:rPr>
          <w:color w:val="E37D7D"/>
          <w:u w:val="single" w:color="E37D7D"/>
        </w:rPr>
        <w:t> </w:t>
      </w:r>
      <w:hyperlink r:id="rId43">
        <w:r>
          <w:rPr>
            <w:color w:val="E37D7D"/>
            <w:u w:val="single" w:color="E37D7D"/>
          </w:rPr>
          <w:t>https://www.integrity.qld.gov.au/</w:t>
        </w:r>
      </w:hyperlink>
    </w:p>
    <w:p>
      <w:pPr>
        <w:pStyle w:val="BodyText"/>
        <w:spacing w:before="36"/>
        <w:ind w:left="245"/>
        <w:rPr>
          <w:rFonts w:ascii="Calibri Light"/>
          <w:b w:val="0"/>
        </w:rPr>
      </w:pPr>
      <w:r>
        <w:rPr>
          <w:rFonts w:ascii="Times New Roman"/>
          <w:color w:val="E37D7D"/>
          <w:w w:val="99"/>
          <w:u w:val="single" w:color="E37D7D"/>
        </w:rPr>
        <w:t> </w:t>
      </w:r>
      <w:hyperlink r:id="rId43">
        <w:r>
          <w:rPr>
            <w:color w:val="E37D7D"/>
            <w:u w:val="single" w:color="E37D7D"/>
          </w:rPr>
          <w:t>publications/podcasts/queensland-integrity-in-health/index.aspx</w:t>
        </w:r>
        <w:r>
          <w:rPr>
            <w:rFonts w:ascii="Calibri Light"/>
            <w:b w:val="0"/>
          </w:rPr>
          <w:t>.</w:t>
        </w:r>
      </w:hyperlink>
    </w:p>
    <w:p>
      <w:pPr>
        <w:pStyle w:val="BodyText"/>
        <w:rPr>
          <w:rFonts w:ascii="Calibri Light"/>
          <w:b w:val="0"/>
          <w:sz w:val="22"/>
        </w:rPr>
      </w:pPr>
    </w:p>
    <w:p>
      <w:pPr>
        <w:pStyle w:val="BodyText"/>
        <w:spacing w:before="1"/>
        <w:rPr>
          <w:rFonts w:ascii="Calibri Light"/>
          <w:b w:val="0"/>
          <w:sz w:val="26"/>
        </w:rPr>
      </w:pPr>
    </w:p>
    <w:p>
      <w:pPr>
        <w:pStyle w:val="Heading5"/>
        <w:ind w:left="246"/>
      </w:pPr>
      <w:r>
        <w:rPr>
          <w:w w:val="110"/>
        </w:rPr>
        <w:t>Queensland integrity committee</w:t>
      </w:r>
    </w:p>
    <w:p>
      <w:pPr>
        <w:pStyle w:val="BodyText"/>
        <w:spacing w:line="276" w:lineRule="auto" w:before="159"/>
        <w:ind w:left="246" w:right="212"/>
        <w:jc w:val="both"/>
      </w:pPr>
      <w:r>
        <w:rPr/>
        <w:t>Queensland enjoys a multi-agency integrity model. This model is anecdotally considered to be the ‘gold standard’ as responsibilities are</w:t>
      </w:r>
      <w:r>
        <w:rPr>
          <w:spacing w:val="-7"/>
        </w:rPr>
        <w:t> </w:t>
      </w:r>
      <w:r>
        <w:rPr/>
        <w:t>divided.</w:t>
      </w:r>
    </w:p>
    <w:p>
      <w:pPr>
        <w:pStyle w:val="BodyText"/>
        <w:spacing w:line="276" w:lineRule="auto" w:before="120"/>
        <w:ind w:left="246" w:right="212"/>
        <w:jc w:val="both"/>
      </w:pPr>
      <w:r>
        <w:rPr/>
        <w:t>In August 2001, the inaugural Integrity Commissioner, the Honourable Alan Demack AO (2000-2004) convened the first meeting of the Integrity Committee. Since then the Integrity Committee has met quarterly to discuss shared issues.</w:t>
      </w:r>
    </w:p>
    <w:p>
      <w:pPr>
        <w:pStyle w:val="BodyText"/>
        <w:spacing w:line="276" w:lineRule="auto" w:before="120"/>
        <w:ind w:left="246" w:right="210"/>
        <w:jc w:val="both"/>
      </w:pPr>
      <w:r>
        <w:rPr/>
        <w:t>Members of the Integrity Committee include: the Chair of the Crime and Corruption Commission, the Auditor-General, the Queensland Ombudsman, the Information Commissioner, the Commission Chief Executive of the Public Service Commission, the Queensland Racing Integrity Commissioner, the Independent Assessor, and the Queensland Electoral Commissioner.</w:t>
      </w:r>
    </w:p>
    <w:p>
      <w:pPr>
        <w:pStyle w:val="BodyText"/>
        <w:spacing w:line="276" w:lineRule="auto" w:before="121"/>
        <w:ind w:left="246" w:right="210"/>
        <w:jc w:val="both"/>
      </w:pPr>
      <w:r>
        <w:rPr/>
        <w:t>For 2019-2020, the Integrity Committee met on 16 July 2019, 9 October 2019, and 17 December 2019. Due to the COVID-19 crisis, a March 2020 meeting was cancelled and instead an update of activity from January to May 2020, was provided by each agency and made publicly available on 11 June 2020 (‘Integrity Committee Update: January to May 2020’).</w:t>
      </w:r>
    </w:p>
    <w:p>
      <w:pPr>
        <w:pStyle w:val="BodyText"/>
        <w:spacing w:line="276" w:lineRule="auto" w:before="120"/>
        <w:ind w:left="246" w:right="209"/>
        <w:jc w:val="both"/>
      </w:pPr>
      <w:r>
        <w:rPr/>
        <w:t>The ‘Integrity Committee Update: January to May 2020’ and ‘Meeting Notes’ for the 16 July 2019, 9 October 2019, and 17 December 2019, Integrity Committee meetings, are available on the office of the Integrity Commissioner’s website at:</w:t>
      </w:r>
    </w:p>
    <w:p>
      <w:pPr>
        <w:pStyle w:val="BodyText"/>
        <w:spacing w:before="63"/>
        <w:ind w:left="245"/>
        <w:rPr>
          <w:rFonts w:ascii="Calibri Light"/>
          <w:b w:val="0"/>
          <w:sz w:val="22"/>
        </w:rPr>
      </w:pPr>
      <w:r>
        <w:rPr>
          <w:rFonts w:ascii="Times New Roman"/>
          <w:color w:val="E37D7D"/>
          <w:w w:val="99"/>
          <w:u w:val="single" w:color="E37D7D"/>
        </w:rPr>
        <w:t> </w:t>
      </w:r>
      <w:hyperlink r:id="rId44">
        <w:r>
          <w:rPr>
            <w:color w:val="E37D7D"/>
            <w:u w:val="single" w:color="E37D7D"/>
          </w:rPr>
          <w:t>https://www.integrity.qld.gov.au/publications/integrity-committee-meeting-notes.aspx</w:t>
        </w:r>
        <w:r>
          <w:rPr>
            <w:rFonts w:ascii="Calibri Light"/>
            <w:b w:val="0"/>
            <w:sz w:val="22"/>
          </w:rPr>
          <w:t>.</w:t>
        </w:r>
      </w:hyperlink>
    </w:p>
    <w:p>
      <w:pPr>
        <w:spacing w:after="0"/>
        <w:rPr>
          <w:rFonts w:ascii="Calibri Light"/>
          <w:sz w:val="22"/>
        </w:rPr>
        <w:sectPr>
          <w:pgSz w:w="16840" w:h="11910" w:orient="landscape"/>
          <w:pgMar w:header="0" w:footer="360" w:top="820" w:bottom="540" w:left="580" w:right="620"/>
          <w:cols w:num="2" w:equalWidth="0">
            <w:col w:w="7643" w:space="186"/>
            <w:col w:w="7811"/>
          </w:cols>
        </w:sectPr>
      </w:pPr>
    </w:p>
    <w:p>
      <w:pPr>
        <w:pStyle w:val="Heading2"/>
      </w:pPr>
      <w:r>
        <w:rPr>
          <w:color w:val="71A276"/>
          <w:w w:val="110"/>
        </w:rPr>
        <w:t>Operational and compliance matters</w:t>
      </w:r>
    </w:p>
    <w:p>
      <w:pPr>
        <w:pStyle w:val="BodyText"/>
        <w:spacing w:before="2"/>
        <w:rPr>
          <w:b/>
          <w:sz w:val="13"/>
        </w:rPr>
      </w:pPr>
    </w:p>
    <w:p>
      <w:pPr>
        <w:spacing w:after="0"/>
        <w:rPr>
          <w:sz w:val="13"/>
        </w:rPr>
        <w:sectPr>
          <w:pgSz w:w="16840" w:h="11910" w:orient="landscape"/>
          <w:pgMar w:header="0" w:footer="360" w:top="820" w:bottom="540" w:left="580" w:right="620"/>
        </w:sectPr>
      </w:pPr>
    </w:p>
    <w:p>
      <w:pPr>
        <w:pStyle w:val="Heading5"/>
        <w:spacing w:before="77"/>
      </w:pPr>
      <w:r>
        <w:rPr>
          <w:w w:val="115"/>
        </w:rPr>
        <w:t>Declarations of Interests</w:t>
      </w:r>
    </w:p>
    <w:p>
      <w:pPr>
        <w:pStyle w:val="BodyText"/>
        <w:spacing w:line="276" w:lineRule="auto" w:before="158"/>
        <w:ind w:left="245" w:right="42"/>
        <w:jc w:val="both"/>
      </w:pPr>
      <w:r>
        <w:rPr/>
        <w:t>Section 72C of the </w:t>
      </w:r>
      <w:r>
        <w:rPr>
          <w:i/>
        </w:rPr>
        <w:t>Integrity Act 2009 </w:t>
      </w:r>
      <w:r>
        <w:rPr/>
        <w:t>provides that various statutory office holders must provide a copy of their Declaration of Interests to the Integrity</w:t>
      </w:r>
      <w:r>
        <w:rPr>
          <w:spacing w:val="-17"/>
        </w:rPr>
        <w:t> </w:t>
      </w:r>
      <w:r>
        <w:rPr/>
        <w:t>Commissioner.</w:t>
      </w:r>
    </w:p>
    <w:p>
      <w:pPr>
        <w:pStyle w:val="BodyText"/>
        <w:spacing w:line="276" w:lineRule="auto" w:before="120"/>
        <w:ind w:left="245" w:right="38"/>
        <w:jc w:val="both"/>
      </w:pPr>
      <w:r>
        <w:rPr/>
        <w:t>Similarly, chief executives are required by section 101 of the </w:t>
      </w:r>
      <w:r>
        <w:rPr>
          <w:i/>
        </w:rPr>
        <w:t>Public Service Act 2008 </w:t>
      </w:r>
      <w:r>
        <w:rPr/>
        <w:t>to provide copies of their Declaration of Interests to the Integrity</w:t>
      </w:r>
      <w:r>
        <w:rPr>
          <w:spacing w:val="-17"/>
        </w:rPr>
        <w:t> </w:t>
      </w:r>
      <w:r>
        <w:rPr/>
        <w:t>Commissioner.</w:t>
      </w:r>
    </w:p>
    <w:p>
      <w:pPr>
        <w:pStyle w:val="BodyText"/>
        <w:spacing w:line="276" w:lineRule="auto" w:before="121"/>
        <w:ind w:left="245" w:right="40"/>
        <w:jc w:val="both"/>
      </w:pPr>
      <w:r>
        <w:rPr/>
        <w:t>Section 85(2) of the </w:t>
      </w:r>
      <w:r>
        <w:rPr>
          <w:i/>
        </w:rPr>
        <w:t>Integrity Act 2009 </w:t>
      </w:r>
      <w:r>
        <w:rPr/>
        <w:t>requires the Integrity Commissioner to provide details of compliance by statutory office holders and chief executives in this respect.</w:t>
      </w:r>
    </w:p>
    <w:p>
      <w:pPr>
        <w:pStyle w:val="BodyText"/>
        <w:spacing w:line="276" w:lineRule="auto" w:before="120"/>
        <w:ind w:left="245" w:right="43"/>
        <w:jc w:val="both"/>
      </w:pPr>
      <w:r>
        <w:rPr/>
        <w:t>As at 30 June 2020, all statutory office holders and chief executives had complied with these requirements. Declarations made by Directors-General are now published on the Public Service Commission website at:</w:t>
      </w:r>
      <w:r>
        <w:rPr>
          <w:color w:val="E37D7D"/>
          <w:u w:val="single" w:color="E37D7D"/>
        </w:rPr>
        <w:t> </w:t>
      </w:r>
      <w:hyperlink r:id="rId45">
        <w:r>
          <w:rPr>
            <w:color w:val="E37D7D"/>
            <w:u w:val="single" w:color="E37D7D"/>
          </w:rPr>
          <w:t>www.psc.qld.gov.au</w:t>
        </w:r>
        <w:r>
          <w:rPr/>
          <w:t>.</w:t>
        </w:r>
      </w:hyperlink>
    </w:p>
    <w:p>
      <w:pPr>
        <w:pStyle w:val="BodyText"/>
        <w:spacing w:line="276" w:lineRule="auto" w:before="120"/>
        <w:ind w:left="245" w:right="42"/>
        <w:jc w:val="both"/>
      </w:pPr>
      <w:r>
        <w:rPr/>
        <w:t>In accordance with the </w:t>
      </w:r>
      <w:r>
        <w:rPr>
          <w:i/>
        </w:rPr>
        <w:t>Integrity Act 2009</w:t>
      </w:r>
      <w:r>
        <w:rPr/>
        <w:t>, the Integrity Commissioner has provided the Speaker with her own Declaration of Interests and amended Declarations as necessary.</w:t>
      </w:r>
    </w:p>
    <w:p>
      <w:pPr>
        <w:pStyle w:val="BodyText"/>
        <w:spacing w:line="276" w:lineRule="auto" w:before="120"/>
        <w:ind w:left="245" w:right="41"/>
        <w:jc w:val="both"/>
      </w:pPr>
      <w:r>
        <w:rPr/>
        <w:t>Under part 2, sections 72D-F of the </w:t>
      </w:r>
      <w:r>
        <w:rPr>
          <w:i/>
        </w:rPr>
        <w:t>Integrity Act 2009</w:t>
      </w:r>
      <w:r>
        <w:rPr/>
        <w:t>, the declarations of interests, and, where relevant, related party and/or revised declarations, of statutory office holders named in Schedule 1 of the </w:t>
      </w:r>
      <w:r>
        <w:rPr>
          <w:i/>
        </w:rPr>
        <w:t>Integrity Act 2009</w:t>
      </w:r>
      <w:r>
        <w:rPr/>
        <w:t>, and other parties where prescribed under  a regulation, Act, directive, or policy, are received and held by the Integrity</w:t>
      </w:r>
      <w:r>
        <w:rPr>
          <w:spacing w:val="-29"/>
        </w:rPr>
        <w:t> </w:t>
      </w:r>
      <w:r>
        <w:rPr/>
        <w:t>Commissioner.</w:t>
      </w:r>
    </w:p>
    <w:p>
      <w:pPr>
        <w:pStyle w:val="BodyText"/>
        <w:spacing w:line="276" w:lineRule="auto" w:before="121"/>
        <w:ind w:left="245" w:right="44"/>
        <w:jc w:val="both"/>
      </w:pPr>
      <w:r>
        <w:rPr/>
        <w:t>As a general position, the Integrity Commissioner receives many hundreds of declarations each year from across sectors and settings.</w:t>
      </w:r>
    </w:p>
    <w:p>
      <w:pPr>
        <w:pStyle w:val="BodyText"/>
        <w:spacing w:line="276" w:lineRule="auto" w:before="120"/>
        <w:ind w:left="245" w:right="38"/>
        <w:jc w:val="both"/>
      </w:pPr>
      <w:r>
        <w:rPr/>
        <w:t>Further, by agreement, the Integrity Commissioner is also responsible for receiving and storing other declarations on a case by case basis. For example, each financial year the Premier and other Ministers are required to complete the Australian Accounting Standard </w:t>
      </w:r>
      <w:r>
        <w:rPr>
          <w:i/>
          <w:sz w:val="22"/>
        </w:rPr>
        <w:t>AASB 124 </w:t>
      </w:r>
      <w:r>
        <w:rPr/>
        <w:t>Related Party Disclosures. The Integrity Commissioner receives these forms on behalf of Queensland Treasury, and makes them available for review by the Auditor- General.</w:t>
      </w:r>
    </w:p>
    <w:p>
      <w:pPr>
        <w:pStyle w:val="BodyText"/>
      </w:pPr>
    </w:p>
    <w:p>
      <w:pPr>
        <w:pStyle w:val="BodyText"/>
        <w:spacing w:before="9"/>
        <w:rPr>
          <w:sz w:val="22"/>
        </w:rPr>
      </w:pPr>
    </w:p>
    <w:p>
      <w:pPr>
        <w:pStyle w:val="Heading5"/>
      </w:pPr>
      <w:r>
        <w:rPr>
          <w:w w:val="115"/>
        </w:rPr>
        <w:t>Ministerial code of conduct</w:t>
      </w:r>
    </w:p>
    <w:p>
      <w:pPr>
        <w:pStyle w:val="BodyText"/>
        <w:spacing w:before="159"/>
        <w:ind w:left="245"/>
      </w:pPr>
      <w:r>
        <w:rPr/>
        <w:t>Under the Ministerial Code of Conduct, Ministers and Assistant Ministers are obliged to</w:t>
      </w:r>
    </w:p>
    <w:p>
      <w:pPr>
        <w:pStyle w:val="BodyText"/>
        <w:spacing w:before="37"/>
        <w:ind w:left="245"/>
      </w:pPr>
      <w:r>
        <w:rPr/>
        <w:t>meet with the Integrity Commissioner at least once every 12 months.</w:t>
      </w:r>
    </w:p>
    <w:p>
      <w:pPr>
        <w:pStyle w:val="BodyText"/>
        <w:spacing w:line="273" w:lineRule="auto" w:before="60"/>
        <w:ind w:left="245" w:right="211"/>
        <w:jc w:val="both"/>
      </w:pPr>
      <w:r>
        <w:rPr/>
        <w:br w:type="column"/>
      </w:r>
      <w:r>
        <w:rPr/>
        <w:t>During the 2019-2020 financial year, the Integrity Commissioner had meetings with or provided advice to each Minister and Assistant Minister.</w:t>
      </w:r>
    </w:p>
    <w:p>
      <w:pPr>
        <w:pStyle w:val="BodyText"/>
        <w:spacing w:line="276" w:lineRule="auto" w:before="122"/>
        <w:ind w:left="245" w:right="206"/>
        <w:jc w:val="both"/>
      </w:pPr>
      <w:r>
        <w:rPr/>
        <w:t>Pursuant to amendments to the Ministerial Code of Conduct made during the 2019-2020 financial year, Ministers are required to have in place a Conflict of Interest Management Plan in relation to real, perceived or potential conflicts of interest.</w:t>
      </w:r>
    </w:p>
    <w:p>
      <w:pPr>
        <w:pStyle w:val="BodyText"/>
        <w:spacing w:line="276" w:lineRule="auto" w:before="120"/>
        <w:ind w:left="245" w:right="210"/>
        <w:jc w:val="both"/>
      </w:pPr>
      <w:r>
        <w:rPr/>
        <w:t>The Management Plan must detail the personal interest, the potential grounds of the conflict, and the proposed actions to manage the conflict. It must be provided to the Premier within a month of being sworn into office or any time there is a change in the Minister’s interests that give rise to a potential conflict. The Minister must also obtain the Integrity Commissioner’s advice on the actions proposed.</w:t>
      </w:r>
    </w:p>
    <w:p>
      <w:pPr>
        <w:pStyle w:val="BodyText"/>
        <w:spacing w:line="276" w:lineRule="auto" w:before="121"/>
        <w:ind w:left="245" w:right="212"/>
        <w:jc w:val="both"/>
      </w:pPr>
      <w:r>
        <w:rPr/>
        <w:t>Following these amendments, the Integrity Commissioner has endorsed or proposed numerous Management Plans for submission to the Premier and holding by the Department of the Premier and Cabinet.</w:t>
      </w:r>
    </w:p>
    <w:p>
      <w:pPr>
        <w:pStyle w:val="BodyText"/>
        <w:spacing w:line="276" w:lineRule="auto" w:before="121"/>
        <w:ind w:left="245" w:right="212"/>
        <w:jc w:val="both"/>
      </w:pPr>
      <w:r>
        <w:rPr/>
        <w:t>While Management Plans cannot deal with every conceivable conflict that might arise, they help to ensure that the most likely potential issues are considered well before any related matter comes before the Minister for decision.</w:t>
      </w:r>
    </w:p>
    <w:p>
      <w:pPr>
        <w:pStyle w:val="BodyText"/>
      </w:pPr>
    </w:p>
    <w:p>
      <w:pPr>
        <w:pStyle w:val="BodyText"/>
        <w:spacing w:before="9"/>
        <w:rPr>
          <w:sz w:val="27"/>
        </w:rPr>
      </w:pPr>
    </w:p>
    <w:p>
      <w:pPr>
        <w:pStyle w:val="Heading5"/>
        <w:jc w:val="both"/>
      </w:pPr>
      <w:r>
        <w:rPr>
          <w:w w:val="110"/>
        </w:rPr>
        <w:t>Submissions and hearings</w:t>
      </w:r>
    </w:p>
    <w:p>
      <w:pPr>
        <w:spacing w:line="276" w:lineRule="auto" w:before="159"/>
        <w:ind w:left="245" w:right="209" w:firstLine="0"/>
        <w:jc w:val="both"/>
        <w:rPr>
          <w:sz w:val="20"/>
        </w:rPr>
      </w:pPr>
      <w:r>
        <w:rPr>
          <w:sz w:val="20"/>
        </w:rPr>
        <w:t>The Integrity Commissioner appeared before the Economics and Governance Committee in public briefings in fulfilment of the Committee’s statutory oversight function held on 30 March 2020. The Integrity Commissioner also appeared before the Economics and Governance Committee in relation to the </w:t>
      </w:r>
      <w:r>
        <w:rPr>
          <w:i/>
          <w:sz w:val="20"/>
        </w:rPr>
        <w:t>Electoral and Other Legislation (Accountability, </w:t>
      </w:r>
      <w:r>
        <w:rPr>
          <w:i/>
          <w:sz w:val="20"/>
        </w:rPr>
        <w:t>Integrity and Other Matters) Amendment Bill 2019</w:t>
      </w:r>
      <w:r>
        <w:rPr>
          <w:sz w:val="20"/>
        </w:rPr>
        <w:t>. The Integrity Commissioner also provided the following submissions:</w:t>
      </w:r>
    </w:p>
    <w:p>
      <w:pPr>
        <w:pStyle w:val="ListParagraph"/>
        <w:numPr>
          <w:ilvl w:val="0"/>
          <w:numId w:val="3"/>
        </w:numPr>
        <w:tabs>
          <w:tab w:pos="606" w:val="left" w:leader="none"/>
        </w:tabs>
        <w:spacing w:line="240" w:lineRule="auto" w:before="117" w:after="0"/>
        <w:ind w:left="606" w:right="214" w:hanging="361"/>
        <w:jc w:val="both"/>
        <w:rPr>
          <w:sz w:val="20"/>
        </w:rPr>
      </w:pPr>
      <w:r>
        <w:rPr>
          <w:i/>
          <w:sz w:val="20"/>
        </w:rPr>
        <w:t>Electoral and Other Legislation (Accountability, Integrity and Other Matters) </w:t>
      </w:r>
      <w:r>
        <w:rPr>
          <w:i/>
          <w:sz w:val="20"/>
        </w:rPr>
        <w:t>Amendment Bill 2019 </w:t>
      </w:r>
      <w:r>
        <w:rPr>
          <w:sz w:val="20"/>
        </w:rPr>
        <w:t>on 9 January 2020, plus further submission on 31 January</w:t>
      </w:r>
      <w:r>
        <w:rPr>
          <w:spacing w:val="-29"/>
          <w:sz w:val="20"/>
        </w:rPr>
        <w:t> </w:t>
      </w:r>
      <w:r>
        <w:rPr>
          <w:sz w:val="20"/>
        </w:rPr>
        <w:t>2020</w:t>
      </w:r>
    </w:p>
    <w:p>
      <w:pPr>
        <w:pStyle w:val="ListParagraph"/>
        <w:numPr>
          <w:ilvl w:val="0"/>
          <w:numId w:val="3"/>
        </w:numPr>
        <w:tabs>
          <w:tab w:pos="606" w:val="left" w:leader="none"/>
        </w:tabs>
        <w:spacing w:line="240" w:lineRule="auto" w:before="116" w:after="0"/>
        <w:ind w:left="606" w:right="0" w:hanging="361"/>
        <w:jc w:val="both"/>
        <w:rPr>
          <w:i/>
          <w:sz w:val="20"/>
        </w:rPr>
      </w:pPr>
      <w:r>
        <w:rPr>
          <w:i/>
          <w:sz w:val="20"/>
        </w:rPr>
        <w:t>Criminal Code and Other Legislation (Ministerial Accountability) Amendment Bill</w:t>
      </w:r>
      <w:r>
        <w:rPr>
          <w:i/>
          <w:spacing w:val="36"/>
          <w:sz w:val="20"/>
        </w:rPr>
        <w:t> </w:t>
      </w:r>
      <w:r>
        <w:rPr>
          <w:i/>
          <w:sz w:val="20"/>
        </w:rPr>
        <w:t>2019</w:t>
      </w:r>
    </w:p>
    <w:p>
      <w:pPr>
        <w:pStyle w:val="BodyText"/>
        <w:ind w:left="606"/>
      </w:pPr>
      <w:r>
        <w:rPr/>
        <w:t>on 10 February 2020, and</w:t>
      </w:r>
    </w:p>
    <w:p>
      <w:pPr>
        <w:pStyle w:val="ListParagraph"/>
        <w:numPr>
          <w:ilvl w:val="0"/>
          <w:numId w:val="3"/>
        </w:numPr>
        <w:tabs>
          <w:tab w:pos="606" w:val="left" w:leader="none"/>
        </w:tabs>
        <w:spacing w:line="240" w:lineRule="auto" w:before="118" w:after="0"/>
        <w:ind w:left="606" w:right="211" w:hanging="361"/>
        <w:jc w:val="both"/>
        <w:rPr>
          <w:rFonts w:ascii="Calibri Light" w:hAnsi="Calibri Light"/>
          <w:b w:val="0"/>
          <w:sz w:val="22"/>
        </w:rPr>
      </w:pPr>
      <w:r>
        <w:rPr>
          <w:sz w:val="20"/>
        </w:rPr>
        <w:t>Overview of the Queensland Integrity Commissioner—Half Year Annual Update on 23 March</w:t>
      </w:r>
      <w:r>
        <w:rPr>
          <w:spacing w:val="-1"/>
          <w:sz w:val="20"/>
        </w:rPr>
        <w:t> </w:t>
      </w:r>
      <w:r>
        <w:rPr>
          <w:sz w:val="20"/>
        </w:rPr>
        <w:t>2020</w:t>
      </w:r>
      <w:r>
        <w:rPr>
          <w:rFonts w:ascii="Calibri Light" w:hAnsi="Calibri Light"/>
          <w:b w:val="0"/>
          <w:sz w:val="22"/>
        </w:rPr>
        <w:t>.</w:t>
      </w:r>
    </w:p>
    <w:p>
      <w:pPr>
        <w:spacing w:after="0" w:line="240" w:lineRule="auto"/>
        <w:jc w:val="both"/>
        <w:rPr>
          <w:rFonts w:ascii="Calibri Light" w:hAnsi="Calibri Light"/>
          <w:sz w:val="22"/>
        </w:rPr>
        <w:sectPr>
          <w:type w:val="continuous"/>
          <w:pgSz w:w="16840" w:h="11910" w:orient="landscape"/>
          <w:pgMar w:top="1100" w:bottom="280" w:left="580" w:right="620"/>
          <w:cols w:num="2" w:equalWidth="0">
            <w:col w:w="7642" w:space="188"/>
            <w:col w:w="7810"/>
          </w:cols>
        </w:sectPr>
      </w:pPr>
    </w:p>
    <w:p>
      <w:pPr>
        <w:pStyle w:val="Heading2"/>
      </w:pPr>
      <w:r>
        <w:rPr>
          <w:color w:val="71A276"/>
          <w:w w:val="110"/>
        </w:rPr>
        <w:t>Operation and compliance matters</w:t>
      </w:r>
    </w:p>
    <w:p>
      <w:pPr>
        <w:pStyle w:val="BodyText"/>
        <w:spacing w:before="10"/>
        <w:rPr>
          <w:b/>
          <w:sz w:val="14"/>
        </w:rPr>
      </w:pPr>
    </w:p>
    <w:p>
      <w:pPr>
        <w:spacing w:after="0"/>
        <w:rPr>
          <w:sz w:val="14"/>
        </w:rPr>
        <w:sectPr>
          <w:pgSz w:w="16840" w:h="11910" w:orient="landscape"/>
          <w:pgMar w:header="0" w:footer="360" w:top="820" w:bottom="540" w:left="580" w:right="620"/>
        </w:sectPr>
      </w:pPr>
    </w:p>
    <w:p>
      <w:pPr>
        <w:pStyle w:val="Heading5"/>
        <w:spacing w:before="56"/>
        <w:jc w:val="both"/>
      </w:pPr>
      <w:r>
        <w:rPr>
          <w:w w:val="110"/>
        </w:rPr>
        <w:t>Staffing and Resources</w:t>
      </w:r>
    </w:p>
    <w:p>
      <w:pPr>
        <w:pStyle w:val="BodyText"/>
        <w:spacing w:line="276" w:lineRule="auto" w:before="159"/>
        <w:ind w:left="245" w:right="42"/>
        <w:jc w:val="both"/>
      </w:pPr>
      <w:r>
        <w:rPr/>
        <w:t>Four permanent fulltime equivalent (FTE) positions exist to support the Integrity Commissioner perform her functions. At present, of the four permanent positions, one position is vacant, and one is filled on a temporary basis.</w:t>
      </w:r>
    </w:p>
    <w:p>
      <w:pPr>
        <w:pStyle w:val="BodyText"/>
        <w:spacing w:line="276" w:lineRule="auto" w:before="120"/>
        <w:ind w:left="245" w:right="38"/>
        <w:jc w:val="both"/>
      </w:pPr>
      <w:r>
        <w:rPr/>
        <w:t>Following the nomination of mayors and councillors in 2018, a further 2.8 FTE were provided to support the Commissioner on a temporary basis for the financial year 2018- 2019.</w:t>
      </w:r>
    </w:p>
    <w:p>
      <w:pPr>
        <w:pStyle w:val="BodyText"/>
        <w:spacing w:line="276" w:lineRule="auto" w:before="121"/>
        <w:ind w:left="245" w:right="47"/>
        <w:jc w:val="both"/>
      </w:pPr>
      <w:r>
        <w:rPr/>
        <w:t>During the financial year of this report, one temporary FTE was provided to one year, in addition to the four permanent FTE.</w:t>
      </w:r>
    </w:p>
    <w:p>
      <w:pPr>
        <w:pStyle w:val="BodyText"/>
        <w:spacing w:before="120"/>
        <w:ind w:left="245"/>
        <w:jc w:val="both"/>
      </w:pPr>
      <w:r>
        <w:rPr/>
        <w:t>The Commissioner took several periods of leave during the financial year:</w:t>
      </w:r>
    </w:p>
    <w:p>
      <w:pPr>
        <w:pStyle w:val="ListParagraph"/>
        <w:numPr>
          <w:ilvl w:val="0"/>
          <w:numId w:val="3"/>
        </w:numPr>
        <w:tabs>
          <w:tab w:pos="605" w:val="left" w:leader="none"/>
          <w:tab w:pos="606" w:val="left" w:leader="none"/>
        </w:tabs>
        <w:spacing w:line="240" w:lineRule="auto" w:before="153" w:after="0"/>
        <w:ind w:left="605" w:right="0" w:hanging="361"/>
        <w:jc w:val="left"/>
        <w:rPr>
          <w:sz w:val="20"/>
        </w:rPr>
      </w:pPr>
      <w:r>
        <w:rPr>
          <w:sz w:val="20"/>
        </w:rPr>
        <w:t>Four weeks of annual</w:t>
      </w:r>
      <w:r>
        <w:rPr>
          <w:spacing w:val="-5"/>
          <w:sz w:val="20"/>
        </w:rPr>
        <w:t> </w:t>
      </w:r>
      <w:r>
        <w:rPr>
          <w:sz w:val="20"/>
        </w:rPr>
        <w:t>leave</w:t>
      </w:r>
    </w:p>
    <w:p>
      <w:pPr>
        <w:pStyle w:val="ListParagraph"/>
        <w:numPr>
          <w:ilvl w:val="0"/>
          <w:numId w:val="3"/>
        </w:numPr>
        <w:tabs>
          <w:tab w:pos="605" w:val="left" w:leader="none"/>
          <w:tab w:pos="606" w:val="left" w:leader="none"/>
        </w:tabs>
        <w:spacing w:line="273" w:lineRule="auto" w:before="153" w:after="0"/>
        <w:ind w:left="605" w:right="44" w:hanging="360"/>
        <w:jc w:val="left"/>
        <w:rPr>
          <w:sz w:val="20"/>
        </w:rPr>
      </w:pPr>
      <w:r>
        <w:rPr>
          <w:sz w:val="20"/>
        </w:rPr>
        <w:t>Four weeks unpaid leave from the role of Commissioner in order to backfill leave arrangements for the Queensland Health Ombudsman,</w:t>
      </w:r>
      <w:r>
        <w:rPr>
          <w:spacing w:val="-6"/>
          <w:sz w:val="20"/>
        </w:rPr>
        <w:t> </w:t>
      </w:r>
      <w:r>
        <w:rPr>
          <w:sz w:val="20"/>
        </w:rPr>
        <w:t>and</w:t>
      </w:r>
    </w:p>
    <w:p>
      <w:pPr>
        <w:pStyle w:val="ListParagraph"/>
        <w:numPr>
          <w:ilvl w:val="0"/>
          <w:numId w:val="3"/>
        </w:numPr>
        <w:tabs>
          <w:tab w:pos="605" w:val="left" w:leader="none"/>
          <w:tab w:pos="606" w:val="left" w:leader="none"/>
        </w:tabs>
        <w:spacing w:line="240" w:lineRule="auto" w:before="120" w:after="0"/>
        <w:ind w:left="605" w:right="0" w:hanging="361"/>
        <w:jc w:val="left"/>
        <w:rPr>
          <w:sz w:val="20"/>
        </w:rPr>
      </w:pPr>
      <w:r>
        <w:rPr>
          <w:sz w:val="20"/>
        </w:rPr>
        <w:t>One week fulltime deployment as part of the Government’s COVID-19</w:t>
      </w:r>
      <w:r>
        <w:rPr>
          <w:spacing w:val="-18"/>
          <w:sz w:val="20"/>
        </w:rPr>
        <w:t> </w:t>
      </w:r>
      <w:r>
        <w:rPr>
          <w:sz w:val="20"/>
        </w:rPr>
        <w:t>response.</w:t>
      </w:r>
    </w:p>
    <w:p>
      <w:pPr>
        <w:pStyle w:val="BodyText"/>
        <w:spacing w:line="276" w:lineRule="auto" w:before="156"/>
        <w:ind w:left="245" w:right="41"/>
        <w:jc w:val="both"/>
      </w:pPr>
      <w:r>
        <w:rPr/>
        <w:t>During the Commissioner's absence, the role was filled by the Acting Integrity Commissioners.</w:t>
      </w:r>
    </w:p>
    <w:p>
      <w:pPr>
        <w:pStyle w:val="BodyText"/>
        <w:spacing w:line="276" w:lineRule="auto" w:before="120"/>
        <w:ind w:left="245" w:right="38"/>
        <w:jc w:val="both"/>
      </w:pPr>
      <w:r>
        <w:rPr/>
        <w:t>Much of the work of the Commissioner involves providing advice on complex matters where time is critical. The sustained workload has meant that the greatest challenge to the commission continues to be responding to demand without any negative impacts on advice quality, comprehensiveness, service, and</w:t>
      </w:r>
      <w:r>
        <w:rPr>
          <w:spacing w:val="-5"/>
        </w:rPr>
        <w:t> </w:t>
      </w:r>
      <w:r>
        <w:rPr/>
        <w:t>timeliness.</w:t>
      </w:r>
    </w:p>
    <w:p>
      <w:pPr>
        <w:pStyle w:val="BodyText"/>
        <w:spacing w:line="276" w:lineRule="auto" w:before="121"/>
        <w:ind w:left="245" w:right="45"/>
        <w:jc w:val="both"/>
      </w:pPr>
      <w:r>
        <w:rPr/>
        <w:t>Years of previous advices are now progressively being catalogued to aid consistency and increase efficiencies. Precedent systems and style guides have been implemented to further increase efficiencies and the quality of advices.</w:t>
      </w:r>
    </w:p>
    <w:p>
      <w:pPr>
        <w:pStyle w:val="BodyText"/>
        <w:spacing w:line="276" w:lineRule="auto" w:before="120"/>
        <w:ind w:left="245" w:right="46"/>
        <w:jc w:val="both"/>
      </w:pPr>
      <w:r>
        <w:rPr/>
        <w:t>Monitoring systems have also been enhanced to ensure that requests are attended to in a timely manner.</w:t>
      </w:r>
    </w:p>
    <w:p>
      <w:pPr>
        <w:pStyle w:val="Heading5"/>
        <w:spacing w:before="80"/>
        <w:ind w:left="246"/>
      </w:pPr>
      <w:r>
        <w:rPr>
          <w:b w:val="0"/>
        </w:rPr>
        <w:br w:type="column"/>
      </w:r>
      <w:r>
        <w:rPr>
          <w:w w:val="110"/>
        </w:rPr>
        <w:t>Other Compliance Matters</w:t>
      </w:r>
    </w:p>
    <w:p>
      <w:pPr>
        <w:pStyle w:val="BodyText"/>
        <w:spacing w:line="276" w:lineRule="auto" w:before="159"/>
        <w:ind w:left="246"/>
      </w:pPr>
      <w:r>
        <w:rPr/>
        <w:t>A copy of the Records Retention and Disposal Schedule (QDAN 629 v.3) developed for the Queensland</w:t>
      </w:r>
      <w:r>
        <w:rPr>
          <w:spacing w:val="8"/>
        </w:rPr>
        <w:t> </w:t>
      </w:r>
      <w:r>
        <w:rPr/>
        <w:t>Integrity</w:t>
      </w:r>
      <w:r>
        <w:rPr>
          <w:spacing w:val="11"/>
        </w:rPr>
        <w:t> </w:t>
      </w:r>
      <w:r>
        <w:rPr/>
        <w:t>Commissioner,</w:t>
      </w:r>
      <w:r>
        <w:rPr>
          <w:spacing w:val="9"/>
        </w:rPr>
        <w:t> </w:t>
      </w:r>
      <w:r>
        <w:rPr/>
        <w:t>and</w:t>
      </w:r>
      <w:r>
        <w:rPr>
          <w:spacing w:val="8"/>
        </w:rPr>
        <w:t> </w:t>
      </w:r>
      <w:r>
        <w:rPr/>
        <w:t>approved</w:t>
      </w:r>
      <w:r>
        <w:rPr>
          <w:spacing w:val="9"/>
        </w:rPr>
        <w:t> </w:t>
      </w:r>
      <w:r>
        <w:rPr/>
        <w:t>by</w:t>
      </w:r>
      <w:r>
        <w:rPr>
          <w:spacing w:val="9"/>
        </w:rPr>
        <w:t> </w:t>
      </w:r>
      <w:r>
        <w:rPr/>
        <w:t>the</w:t>
      </w:r>
      <w:r>
        <w:rPr>
          <w:spacing w:val="9"/>
        </w:rPr>
        <w:t> </w:t>
      </w:r>
      <w:r>
        <w:rPr/>
        <w:t>Queensland</w:t>
      </w:r>
      <w:r>
        <w:rPr>
          <w:spacing w:val="9"/>
        </w:rPr>
        <w:t> </w:t>
      </w:r>
      <w:r>
        <w:rPr/>
        <w:t>State</w:t>
      </w:r>
      <w:r>
        <w:rPr>
          <w:spacing w:val="10"/>
        </w:rPr>
        <w:t> </w:t>
      </w:r>
      <w:r>
        <w:rPr/>
        <w:t>Archivist</w:t>
      </w:r>
      <w:r>
        <w:rPr>
          <w:spacing w:val="9"/>
        </w:rPr>
        <w:t> </w:t>
      </w:r>
      <w:r>
        <w:rPr/>
        <w:t>on</w:t>
      </w:r>
    </w:p>
    <w:p>
      <w:pPr>
        <w:pStyle w:val="BodyText"/>
        <w:ind w:left="246"/>
      </w:pPr>
      <w:r>
        <w:rPr/>
        <w:t>22   November   2013,   is   available   on   the   Queensland   State   Archives   website  </w:t>
      </w:r>
      <w:r>
        <w:rPr>
          <w:spacing w:val="9"/>
        </w:rPr>
        <w:t> </w:t>
      </w:r>
      <w:r>
        <w:rPr/>
        <w:t>at:</w:t>
      </w:r>
    </w:p>
    <w:p>
      <w:pPr>
        <w:pStyle w:val="BodyText"/>
        <w:spacing w:before="37"/>
        <w:ind w:left="245"/>
      </w:pPr>
      <w:r>
        <w:rPr>
          <w:rFonts w:ascii="Times New Roman"/>
          <w:color w:val="E37D7D"/>
          <w:w w:val="99"/>
          <w:u w:val="single" w:color="E37D7D"/>
        </w:rPr>
        <w:t> </w:t>
      </w:r>
      <w:hyperlink r:id="rId46">
        <w:r>
          <w:rPr>
            <w:color w:val="E37D7D"/>
            <w:u w:val="single" w:color="E37D7D"/>
          </w:rPr>
          <w:t>www.archives.qld.gov.au</w:t>
        </w:r>
        <w:r>
          <w:rPr/>
          <w:t>.</w:t>
        </w:r>
      </w:hyperlink>
    </w:p>
    <w:p>
      <w:pPr>
        <w:spacing w:line="276" w:lineRule="auto" w:before="156"/>
        <w:ind w:left="246" w:right="252" w:firstLine="0"/>
        <w:jc w:val="both"/>
        <w:rPr>
          <w:sz w:val="20"/>
        </w:rPr>
      </w:pPr>
      <w:r>
        <w:rPr>
          <w:sz w:val="20"/>
        </w:rPr>
        <w:t>No public interest disclosure applications under the </w:t>
      </w:r>
      <w:r>
        <w:rPr>
          <w:i/>
          <w:sz w:val="20"/>
        </w:rPr>
        <w:t>Public Interest Disclosure Act 2010 </w:t>
      </w:r>
      <w:r>
        <w:rPr>
          <w:sz w:val="20"/>
        </w:rPr>
        <w:t>were received by the Integrity Commissioner. No applications were received in relation to the advice functions of the </w:t>
      </w:r>
      <w:r>
        <w:rPr>
          <w:i/>
          <w:sz w:val="20"/>
        </w:rPr>
        <w:t>Integrity Act 2009 </w:t>
      </w:r>
      <w:r>
        <w:rPr>
          <w:sz w:val="20"/>
        </w:rPr>
        <w:t>and no information can be provided about the Integrity Commissioner’s activities under chapter 3 of the </w:t>
      </w:r>
      <w:r>
        <w:rPr>
          <w:i/>
          <w:sz w:val="20"/>
        </w:rPr>
        <w:t>Integrity Act 2009</w:t>
      </w:r>
      <w:r>
        <w:rPr>
          <w:sz w:val="20"/>
        </w:rPr>
        <w:t>.</w:t>
      </w:r>
    </w:p>
    <w:p>
      <w:pPr>
        <w:pStyle w:val="BodyText"/>
        <w:spacing w:line="276" w:lineRule="auto" w:before="121"/>
        <w:ind w:left="246" w:right="258"/>
        <w:jc w:val="both"/>
      </w:pPr>
      <w:r>
        <w:rPr/>
        <w:t>This Annual Report and previous reports from the Integrity Commissioner are available online at:</w:t>
      </w:r>
      <w:r>
        <w:rPr>
          <w:color w:val="E37D7D"/>
          <w:u w:val="single" w:color="E37D7D"/>
        </w:rPr>
        <w:t> </w:t>
      </w:r>
      <w:hyperlink r:id="rId47">
        <w:r>
          <w:rPr>
            <w:color w:val="E37D7D"/>
            <w:u w:val="single" w:color="E37D7D"/>
          </w:rPr>
          <w:t>www.integrity.qld.gov.au/publications/annual-reports.aspx</w:t>
        </w:r>
        <w:r>
          <w:rPr/>
          <w:t>.</w:t>
        </w:r>
      </w:hyperlink>
    </w:p>
    <w:p>
      <w:pPr>
        <w:spacing w:after="0" w:line="276" w:lineRule="auto"/>
        <w:jc w:val="both"/>
        <w:sectPr>
          <w:type w:val="continuous"/>
          <w:pgSz w:w="16840" w:h="11910" w:orient="landscape"/>
          <w:pgMar w:top="1100" w:bottom="280" w:left="580" w:right="620"/>
          <w:cols w:num="2" w:equalWidth="0">
            <w:col w:w="7639" w:space="189"/>
            <w:col w:w="7812"/>
          </w:cols>
        </w:sectPr>
      </w:pPr>
    </w:p>
    <w:p>
      <w:pPr>
        <w:pStyle w:val="Heading2"/>
      </w:pPr>
      <w:r>
        <w:rPr>
          <w:color w:val="71A276"/>
          <w:w w:val="110"/>
        </w:rPr>
        <w:t>Financial statement</w:t>
      </w:r>
    </w:p>
    <w:p>
      <w:pPr>
        <w:pStyle w:val="BodyText"/>
        <w:spacing w:before="3"/>
        <w:rPr>
          <w:b/>
          <w:sz w:val="23"/>
        </w:rPr>
      </w:pPr>
    </w:p>
    <w:p>
      <w:pPr>
        <w:spacing w:after="0"/>
        <w:rPr>
          <w:sz w:val="23"/>
        </w:rPr>
        <w:sectPr>
          <w:pgSz w:w="16840" w:h="11910" w:orient="landscape"/>
          <w:pgMar w:header="0" w:footer="360" w:top="820" w:bottom="540" w:left="580" w:right="620"/>
        </w:sectPr>
      </w:pPr>
    </w:p>
    <w:p>
      <w:pPr>
        <w:spacing w:line="348" w:lineRule="auto" w:before="95"/>
        <w:ind w:left="259" w:right="0" w:hanging="2"/>
        <w:jc w:val="left"/>
        <w:rPr>
          <w:rFonts w:ascii="Arial"/>
          <w:b/>
          <w:sz w:val="18"/>
        </w:rPr>
      </w:pPr>
      <w:r>
        <w:rPr>
          <w:rFonts w:ascii="Arial"/>
          <w:b/>
          <w:color w:val="030105"/>
          <w:w w:val="85"/>
          <w:sz w:val="18"/>
        </w:rPr>
        <w:t>Queensland Integrity Commissioner Statement of Comprehensive Income </w:t>
      </w:r>
      <w:r>
        <w:rPr>
          <w:rFonts w:ascii="Arial"/>
          <w:b/>
          <w:color w:val="030105"/>
          <w:w w:val="95"/>
          <w:sz w:val="18"/>
        </w:rPr>
        <w:t>Year ended 30 June 2020</w:t>
      </w:r>
    </w:p>
    <w:p>
      <w:pPr>
        <w:pStyle w:val="BodyText"/>
        <w:rPr>
          <w:rFonts w:ascii="Arial"/>
          <w:b/>
        </w:rPr>
      </w:pPr>
      <w:r>
        <w:rPr/>
        <w:br w:type="column"/>
      </w:r>
      <w:r>
        <w:rPr>
          <w:rFonts w:ascii="Arial"/>
          <w:b/>
        </w:rPr>
      </w:r>
    </w:p>
    <w:p>
      <w:pPr>
        <w:pStyle w:val="BodyText"/>
        <w:rPr>
          <w:rFonts w:ascii="Arial"/>
          <w:b/>
        </w:rPr>
      </w:pPr>
    </w:p>
    <w:p>
      <w:pPr>
        <w:pStyle w:val="BodyText"/>
        <w:rPr>
          <w:rFonts w:ascii="Arial"/>
          <w:b/>
        </w:rPr>
      </w:pPr>
    </w:p>
    <w:p>
      <w:pPr>
        <w:pStyle w:val="BodyText"/>
        <w:rPr>
          <w:rFonts w:ascii="Arial"/>
          <w:b/>
          <w:sz w:val="26"/>
        </w:rPr>
      </w:pPr>
    </w:p>
    <w:p>
      <w:pPr>
        <w:tabs>
          <w:tab w:pos="792" w:val="left" w:leader="none"/>
          <w:tab w:pos="1590" w:val="left" w:leader="none"/>
          <w:tab w:pos="2917" w:val="left" w:leader="none"/>
        </w:tabs>
        <w:spacing w:before="0"/>
        <w:ind w:left="0" w:right="7696" w:firstLine="0"/>
        <w:jc w:val="center"/>
        <w:rPr>
          <w:rFonts w:ascii="Arial"/>
          <w:b/>
          <w:sz w:val="18"/>
        </w:rPr>
      </w:pPr>
      <w:r>
        <w:rPr>
          <w:rFonts w:ascii="Arial"/>
          <w:b/>
          <w:color w:val="030105"/>
          <w:w w:val="85"/>
          <w:sz w:val="18"/>
        </w:rPr>
        <w:t>2020</w:t>
        <w:tab/>
        <w:t>2019</w:t>
        <w:tab/>
        <w:t>2020</w:t>
        <w:tab/>
        <w:t>Note</w:t>
      </w:r>
    </w:p>
    <w:p>
      <w:pPr>
        <w:tabs>
          <w:tab w:pos="2628" w:val="left" w:leader="none"/>
        </w:tabs>
        <w:spacing w:before="23"/>
        <w:ind w:left="1788" w:right="0" w:firstLine="0"/>
        <w:jc w:val="left"/>
        <w:rPr>
          <w:rFonts w:ascii="Arial"/>
          <w:b/>
          <w:sz w:val="18"/>
        </w:rPr>
      </w:pPr>
      <w:r>
        <w:rPr>
          <w:rFonts w:ascii="Arial"/>
          <w:b/>
          <w:color w:val="030105"/>
          <w:w w:val="85"/>
          <w:sz w:val="18"/>
        </w:rPr>
        <w:t>Orig</w:t>
      </w:r>
      <w:r>
        <w:rPr>
          <w:rFonts w:ascii="Arial"/>
          <w:b/>
          <w:color w:val="18161F"/>
          <w:w w:val="85"/>
          <w:sz w:val="18"/>
        </w:rPr>
        <w:t>i</w:t>
      </w:r>
      <w:r>
        <w:rPr>
          <w:rFonts w:ascii="Arial"/>
          <w:b/>
          <w:color w:val="030105"/>
          <w:w w:val="85"/>
          <w:sz w:val="18"/>
        </w:rPr>
        <w:t>na</w:t>
      </w:r>
      <w:r>
        <w:rPr>
          <w:rFonts w:ascii="Arial"/>
          <w:b/>
          <w:color w:val="03032F"/>
          <w:w w:val="85"/>
          <w:sz w:val="18"/>
        </w:rPr>
        <w:t>l</w:t>
        <w:tab/>
      </w:r>
      <w:r>
        <w:rPr>
          <w:rFonts w:ascii="Arial"/>
          <w:b/>
          <w:color w:val="030105"/>
          <w:w w:val="90"/>
          <w:sz w:val="18"/>
        </w:rPr>
        <w:t>Budget</w:t>
      </w:r>
    </w:p>
    <w:p>
      <w:pPr>
        <w:tabs>
          <w:tab w:pos="792" w:val="left" w:leader="none"/>
          <w:tab w:pos="1577" w:val="left" w:leader="none"/>
        </w:tabs>
        <w:spacing w:before="39"/>
        <w:ind w:left="0" w:right="7753" w:firstLine="0"/>
        <w:jc w:val="center"/>
        <w:rPr>
          <w:rFonts w:ascii="Arial"/>
          <w:b/>
          <w:sz w:val="18"/>
        </w:rPr>
      </w:pPr>
      <w:r>
        <w:rPr>
          <w:rFonts w:ascii="Arial"/>
          <w:b/>
          <w:color w:val="030105"/>
          <w:w w:val="85"/>
          <w:position w:val="-1"/>
          <w:sz w:val="18"/>
        </w:rPr>
        <w:t>Actual</w:t>
        <w:tab/>
        <w:t>Actual</w:t>
        <w:tab/>
      </w:r>
      <w:r>
        <w:rPr>
          <w:rFonts w:ascii="Arial"/>
          <w:b/>
          <w:color w:val="030105"/>
          <w:w w:val="85"/>
          <w:sz w:val="18"/>
        </w:rPr>
        <w:t>Budge</w:t>
      </w:r>
      <w:r>
        <w:rPr>
          <w:rFonts w:ascii="Arial"/>
          <w:b/>
          <w:color w:val="18161F"/>
          <w:w w:val="85"/>
          <w:sz w:val="18"/>
        </w:rPr>
        <w:t>t </w:t>
      </w:r>
      <w:r>
        <w:rPr>
          <w:rFonts w:ascii="Arial"/>
          <w:b/>
          <w:color w:val="030105"/>
          <w:w w:val="85"/>
          <w:sz w:val="18"/>
        </w:rPr>
        <w:t>Variance </w:t>
      </w:r>
      <w:r>
        <w:rPr>
          <w:rFonts w:ascii="Arial"/>
          <w:b/>
          <w:color w:val="18161F"/>
          <w:w w:val="85"/>
          <w:sz w:val="18"/>
        </w:rPr>
        <w:t>s</w:t>
      </w:r>
      <w:r>
        <w:rPr>
          <w:rFonts w:ascii="Arial"/>
          <w:b/>
          <w:color w:val="18161F"/>
          <w:spacing w:val="19"/>
          <w:w w:val="85"/>
          <w:sz w:val="18"/>
        </w:rPr>
        <w:t> </w:t>
      </w:r>
      <w:r>
        <w:rPr>
          <w:rFonts w:ascii="Arial"/>
          <w:b/>
          <w:color w:val="030105"/>
          <w:w w:val="85"/>
          <w:position w:val="-7"/>
          <w:sz w:val="18"/>
        </w:rPr>
        <w:t>Budg</w:t>
      </w:r>
      <w:r>
        <w:rPr>
          <w:rFonts w:ascii="Arial"/>
          <w:b/>
          <w:color w:val="18161F"/>
          <w:w w:val="85"/>
          <w:position w:val="-7"/>
          <w:sz w:val="18"/>
        </w:rPr>
        <w:t>et</w:t>
      </w:r>
    </w:p>
    <w:p>
      <w:pPr>
        <w:spacing w:after="0"/>
        <w:jc w:val="center"/>
        <w:rPr>
          <w:rFonts w:ascii="Arial"/>
          <w:sz w:val="18"/>
        </w:rPr>
        <w:sectPr>
          <w:type w:val="continuous"/>
          <w:pgSz w:w="16840" w:h="11910" w:orient="landscape"/>
          <w:pgMar w:top="1100" w:bottom="280" w:left="580" w:right="620"/>
          <w:cols w:num="2" w:equalWidth="0">
            <w:col w:w="3030" w:space="865"/>
            <w:col w:w="11745"/>
          </w:cols>
        </w:sectPr>
      </w:pPr>
    </w:p>
    <w:p>
      <w:pPr>
        <w:pStyle w:val="BodyText"/>
        <w:spacing w:before="1"/>
        <w:rPr>
          <w:rFonts w:ascii="Arial"/>
          <w:b/>
          <w:sz w:val="3"/>
        </w:rPr>
      </w:pPr>
    </w:p>
    <w:tbl>
      <w:tblPr>
        <w:tblW w:w="0" w:type="auto"/>
        <w:jc w:val="left"/>
        <w:tblInd w:w="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38"/>
        <w:gridCol w:w="909"/>
        <w:gridCol w:w="782"/>
        <w:gridCol w:w="805"/>
        <w:gridCol w:w="641"/>
        <w:gridCol w:w="645"/>
      </w:tblGrid>
      <w:tr>
        <w:trPr>
          <w:trHeight w:val="857" w:hRule="atLeast"/>
        </w:trPr>
        <w:tc>
          <w:tcPr>
            <w:tcW w:w="3738" w:type="dxa"/>
          </w:tcPr>
          <w:p>
            <w:pPr>
              <w:pStyle w:val="TableParagraph"/>
              <w:spacing w:before="4"/>
              <w:ind w:left="54"/>
              <w:rPr>
                <w:rFonts w:ascii="Arial"/>
                <w:b/>
                <w:sz w:val="18"/>
              </w:rPr>
            </w:pPr>
            <w:r>
              <w:rPr>
                <w:rFonts w:ascii="Arial"/>
                <w:b/>
                <w:color w:val="030105"/>
                <w:w w:val="85"/>
                <w:sz w:val="18"/>
              </w:rPr>
              <w:t>OPERATING RESULT</w:t>
            </w:r>
          </w:p>
          <w:p>
            <w:pPr>
              <w:pStyle w:val="TableParagraph"/>
              <w:rPr>
                <w:rFonts w:ascii="Arial"/>
                <w:b/>
                <w:sz w:val="20"/>
              </w:rPr>
            </w:pPr>
          </w:p>
          <w:p>
            <w:pPr>
              <w:pStyle w:val="TableParagraph"/>
              <w:spacing w:before="164"/>
              <w:ind w:left="50"/>
              <w:rPr>
                <w:rFonts w:ascii="Arial"/>
                <w:b/>
                <w:sz w:val="18"/>
              </w:rPr>
            </w:pPr>
            <w:r>
              <w:rPr>
                <w:rFonts w:ascii="Arial"/>
                <w:b/>
                <w:color w:val="030105"/>
                <w:w w:val="85"/>
                <w:sz w:val="18"/>
              </w:rPr>
              <w:t>Income from Cont</w:t>
            </w:r>
            <w:r>
              <w:rPr>
                <w:rFonts w:ascii="Arial"/>
                <w:b/>
                <w:color w:val="18161F"/>
                <w:w w:val="85"/>
                <w:sz w:val="18"/>
              </w:rPr>
              <w:t>i</w:t>
            </w:r>
            <w:r>
              <w:rPr>
                <w:rFonts w:ascii="Arial"/>
                <w:b/>
                <w:color w:val="030105"/>
                <w:w w:val="85"/>
                <w:sz w:val="18"/>
              </w:rPr>
              <w:t>nuing Operat </w:t>
            </w:r>
            <w:r>
              <w:rPr>
                <w:rFonts w:ascii="Arial"/>
                <w:b/>
                <w:color w:val="03032F"/>
                <w:w w:val="85"/>
                <w:sz w:val="18"/>
              </w:rPr>
              <w:t>i</w:t>
            </w:r>
            <w:r>
              <w:rPr>
                <w:rFonts w:ascii="Arial"/>
                <w:b/>
                <w:color w:val="030105"/>
                <w:w w:val="85"/>
                <w:sz w:val="18"/>
              </w:rPr>
              <w:t>ons</w:t>
            </w:r>
          </w:p>
        </w:tc>
        <w:tc>
          <w:tcPr>
            <w:tcW w:w="909" w:type="dxa"/>
          </w:tcPr>
          <w:p>
            <w:pPr>
              <w:pStyle w:val="TableParagraph"/>
              <w:spacing w:before="4"/>
              <w:ind w:left="266" w:right="141"/>
              <w:jc w:val="center"/>
              <w:rPr>
                <w:rFonts w:ascii="Arial"/>
                <w:b/>
                <w:sz w:val="18"/>
              </w:rPr>
            </w:pPr>
            <w:r>
              <w:rPr>
                <w:rFonts w:ascii="Arial"/>
                <w:b/>
                <w:color w:val="18161F"/>
                <w:w w:val="95"/>
                <w:sz w:val="18"/>
              </w:rPr>
              <w:t>$</w:t>
            </w:r>
            <w:r>
              <w:rPr>
                <w:rFonts w:ascii="Arial"/>
                <w:b/>
                <w:color w:val="030105"/>
                <w:w w:val="95"/>
                <w:sz w:val="18"/>
              </w:rPr>
              <w:t>'000</w:t>
            </w:r>
          </w:p>
        </w:tc>
        <w:tc>
          <w:tcPr>
            <w:tcW w:w="782" w:type="dxa"/>
          </w:tcPr>
          <w:p>
            <w:pPr>
              <w:pStyle w:val="TableParagraph"/>
              <w:spacing w:before="4"/>
              <w:ind w:right="221"/>
              <w:jc w:val="right"/>
              <w:rPr>
                <w:rFonts w:ascii="Arial"/>
                <w:b/>
                <w:sz w:val="18"/>
              </w:rPr>
            </w:pPr>
            <w:r>
              <w:rPr>
                <w:rFonts w:ascii="Arial"/>
                <w:b/>
                <w:color w:val="18161F"/>
                <w:w w:val="80"/>
                <w:sz w:val="18"/>
              </w:rPr>
              <w:t>$</w:t>
            </w:r>
            <w:r>
              <w:rPr>
                <w:rFonts w:ascii="Arial"/>
                <w:b/>
                <w:color w:val="030105"/>
                <w:w w:val="80"/>
                <w:sz w:val="18"/>
              </w:rPr>
              <w:t>'000</w:t>
            </w:r>
          </w:p>
        </w:tc>
        <w:tc>
          <w:tcPr>
            <w:tcW w:w="805" w:type="dxa"/>
          </w:tcPr>
          <w:p>
            <w:pPr>
              <w:pStyle w:val="TableParagraph"/>
              <w:spacing w:before="4"/>
              <w:ind w:right="229"/>
              <w:jc w:val="right"/>
              <w:rPr>
                <w:rFonts w:ascii="Arial"/>
                <w:b/>
                <w:sz w:val="18"/>
              </w:rPr>
            </w:pPr>
            <w:r>
              <w:rPr>
                <w:rFonts w:ascii="Arial"/>
                <w:b/>
                <w:color w:val="18161F"/>
                <w:w w:val="75"/>
                <w:sz w:val="18"/>
              </w:rPr>
              <w:t>$'</w:t>
            </w:r>
            <w:r>
              <w:rPr>
                <w:rFonts w:ascii="Arial"/>
                <w:b/>
                <w:color w:val="030105"/>
                <w:w w:val="75"/>
                <w:sz w:val="18"/>
              </w:rPr>
              <w:t>000</w:t>
            </w:r>
          </w:p>
        </w:tc>
        <w:tc>
          <w:tcPr>
            <w:tcW w:w="641" w:type="dxa"/>
          </w:tcPr>
          <w:p>
            <w:pPr>
              <w:pStyle w:val="TableParagraph"/>
              <w:spacing w:line="201" w:lineRule="exact"/>
              <w:ind w:right="42"/>
              <w:jc w:val="right"/>
              <w:rPr>
                <w:rFonts w:ascii="Arial"/>
                <w:b/>
                <w:sz w:val="18"/>
              </w:rPr>
            </w:pPr>
            <w:r>
              <w:rPr>
                <w:rFonts w:ascii="Arial"/>
                <w:b/>
                <w:color w:val="18161F"/>
                <w:w w:val="80"/>
                <w:sz w:val="18"/>
              </w:rPr>
              <w:t>$</w:t>
            </w:r>
            <w:r>
              <w:rPr>
                <w:rFonts w:ascii="Arial"/>
                <w:b/>
                <w:color w:val="030105"/>
                <w:w w:val="80"/>
                <w:sz w:val="18"/>
              </w:rPr>
              <w:t>'000</w:t>
            </w:r>
          </w:p>
        </w:tc>
        <w:tc>
          <w:tcPr>
            <w:tcW w:w="645" w:type="dxa"/>
          </w:tcPr>
          <w:p>
            <w:pPr>
              <w:pStyle w:val="TableParagraph"/>
              <w:spacing w:line="201" w:lineRule="exact"/>
              <w:ind w:right="34"/>
              <w:jc w:val="center"/>
              <w:rPr>
                <w:rFonts w:ascii="Arial"/>
                <w:b/>
                <w:sz w:val="18"/>
              </w:rPr>
            </w:pPr>
            <w:r>
              <w:rPr>
                <w:rFonts w:ascii="Arial"/>
                <w:b/>
                <w:color w:val="030105"/>
                <w:w w:val="80"/>
                <w:sz w:val="18"/>
              </w:rPr>
              <w:t>Var</w:t>
            </w:r>
            <w:r>
              <w:rPr>
                <w:rFonts w:ascii="Arial"/>
                <w:b/>
                <w:color w:val="18161F"/>
                <w:w w:val="80"/>
                <w:sz w:val="18"/>
              </w:rPr>
              <w:t>i</w:t>
            </w:r>
            <w:r>
              <w:rPr>
                <w:rFonts w:ascii="Arial"/>
                <w:b/>
                <w:color w:val="030105"/>
                <w:w w:val="80"/>
                <w:sz w:val="18"/>
              </w:rPr>
              <w:t>ance</w:t>
            </w:r>
          </w:p>
        </w:tc>
      </w:tr>
      <w:tr>
        <w:trPr>
          <w:trHeight w:val="300" w:hRule="atLeast"/>
        </w:trPr>
        <w:tc>
          <w:tcPr>
            <w:tcW w:w="3738" w:type="dxa"/>
          </w:tcPr>
          <w:p>
            <w:pPr>
              <w:pStyle w:val="TableParagraph"/>
              <w:spacing w:before="45"/>
              <w:ind w:left="52"/>
              <w:rPr>
                <w:rFonts w:ascii="Arial"/>
                <w:sz w:val="18"/>
              </w:rPr>
            </w:pPr>
            <w:r>
              <w:rPr>
                <w:rFonts w:ascii="Arial"/>
                <w:color w:val="18161F"/>
                <w:w w:val="85"/>
                <w:sz w:val="18"/>
              </w:rPr>
              <w:t>Appropriation revenue</w:t>
            </w:r>
          </w:p>
        </w:tc>
        <w:tc>
          <w:tcPr>
            <w:tcW w:w="909" w:type="dxa"/>
          </w:tcPr>
          <w:p>
            <w:pPr>
              <w:pStyle w:val="TableParagraph"/>
              <w:spacing w:before="45"/>
              <w:ind w:left="253" w:right="161"/>
              <w:jc w:val="center"/>
              <w:rPr>
                <w:rFonts w:ascii="Arial"/>
                <w:sz w:val="18"/>
              </w:rPr>
            </w:pPr>
            <w:r>
              <w:rPr>
                <w:rFonts w:ascii="Arial"/>
                <w:color w:val="18161F"/>
                <w:w w:val="95"/>
                <w:sz w:val="18"/>
              </w:rPr>
              <w:t>1</w:t>
            </w:r>
            <w:r>
              <w:rPr>
                <w:rFonts w:ascii="Arial"/>
                <w:color w:val="3F363B"/>
                <w:w w:val="95"/>
                <w:sz w:val="18"/>
              </w:rPr>
              <w:t>,</w:t>
            </w:r>
            <w:r>
              <w:rPr>
                <w:rFonts w:ascii="Arial"/>
                <w:color w:val="18161F"/>
                <w:w w:val="95"/>
                <w:sz w:val="18"/>
              </w:rPr>
              <w:t>292</w:t>
            </w:r>
          </w:p>
        </w:tc>
        <w:tc>
          <w:tcPr>
            <w:tcW w:w="782" w:type="dxa"/>
          </w:tcPr>
          <w:p>
            <w:pPr>
              <w:pStyle w:val="TableParagraph"/>
              <w:spacing w:before="45"/>
              <w:ind w:right="221"/>
              <w:jc w:val="right"/>
              <w:rPr>
                <w:rFonts w:ascii="Arial"/>
                <w:sz w:val="18"/>
              </w:rPr>
            </w:pPr>
            <w:r>
              <w:rPr>
                <w:rFonts w:ascii="Arial"/>
                <w:color w:val="18161F"/>
                <w:w w:val="80"/>
                <w:sz w:val="18"/>
              </w:rPr>
              <w:t>1</w:t>
            </w:r>
            <w:r>
              <w:rPr>
                <w:rFonts w:ascii="Arial"/>
                <w:color w:val="504D4D"/>
                <w:w w:val="80"/>
                <w:sz w:val="18"/>
              </w:rPr>
              <w:t>,</w:t>
            </w:r>
            <w:r>
              <w:rPr>
                <w:rFonts w:ascii="Arial"/>
                <w:color w:val="18161F"/>
                <w:w w:val="80"/>
                <w:sz w:val="18"/>
              </w:rPr>
              <w:t>309</w:t>
            </w:r>
          </w:p>
        </w:tc>
        <w:tc>
          <w:tcPr>
            <w:tcW w:w="805" w:type="dxa"/>
          </w:tcPr>
          <w:p>
            <w:pPr>
              <w:pStyle w:val="TableParagraph"/>
              <w:spacing w:before="40"/>
              <w:ind w:right="219"/>
              <w:jc w:val="right"/>
              <w:rPr>
                <w:rFonts w:ascii="Arial"/>
                <w:sz w:val="18"/>
              </w:rPr>
            </w:pPr>
            <w:r>
              <w:rPr>
                <w:rFonts w:ascii="Arial"/>
                <w:color w:val="283141"/>
                <w:w w:val="85"/>
                <w:sz w:val="18"/>
              </w:rPr>
              <w:t>1,</w:t>
            </w:r>
            <w:r>
              <w:rPr>
                <w:rFonts w:ascii="Arial"/>
                <w:color w:val="18161F"/>
                <w:w w:val="85"/>
                <w:sz w:val="18"/>
              </w:rPr>
              <w:t>202</w:t>
            </w:r>
          </w:p>
        </w:tc>
        <w:tc>
          <w:tcPr>
            <w:tcW w:w="641" w:type="dxa"/>
          </w:tcPr>
          <w:p>
            <w:pPr>
              <w:pStyle w:val="TableParagraph"/>
              <w:spacing w:before="45"/>
              <w:ind w:right="76"/>
              <w:jc w:val="right"/>
              <w:rPr>
                <w:rFonts w:ascii="Arial"/>
                <w:sz w:val="18"/>
              </w:rPr>
            </w:pPr>
            <w:r>
              <w:rPr>
                <w:rFonts w:ascii="Arial"/>
                <w:color w:val="18161F"/>
                <w:w w:val="75"/>
                <w:sz w:val="18"/>
              </w:rPr>
              <w:t>90</w:t>
            </w:r>
          </w:p>
        </w:tc>
        <w:tc>
          <w:tcPr>
            <w:tcW w:w="645" w:type="dxa"/>
          </w:tcPr>
          <w:p>
            <w:pPr>
              <w:pStyle w:val="TableParagraph"/>
              <w:rPr>
                <w:rFonts w:ascii="Times New Roman"/>
                <w:sz w:val="18"/>
              </w:rPr>
            </w:pPr>
          </w:p>
        </w:tc>
      </w:tr>
      <w:tr>
        <w:trPr>
          <w:trHeight w:val="298" w:hRule="atLeast"/>
        </w:trPr>
        <w:tc>
          <w:tcPr>
            <w:tcW w:w="3738" w:type="dxa"/>
          </w:tcPr>
          <w:p>
            <w:pPr>
              <w:pStyle w:val="TableParagraph"/>
              <w:spacing w:before="42"/>
              <w:ind w:left="52"/>
              <w:rPr>
                <w:rFonts w:ascii="Arial"/>
                <w:sz w:val="18"/>
              </w:rPr>
            </w:pPr>
            <w:r>
              <w:rPr>
                <w:rFonts w:ascii="Arial"/>
                <w:color w:val="18161F"/>
                <w:w w:val="85"/>
                <w:sz w:val="18"/>
              </w:rPr>
              <w:t>G</w:t>
            </w:r>
            <w:r>
              <w:rPr>
                <w:rFonts w:ascii="Arial"/>
                <w:color w:val="3F363B"/>
                <w:w w:val="85"/>
                <w:sz w:val="18"/>
              </w:rPr>
              <w:t>r</w:t>
            </w:r>
            <w:r>
              <w:rPr>
                <w:rFonts w:ascii="Arial"/>
                <w:color w:val="18161F"/>
                <w:w w:val="85"/>
                <w:sz w:val="18"/>
              </w:rPr>
              <w:t>ants and other contribut </w:t>
            </w:r>
            <w:r>
              <w:rPr>
                <w:rFonts w:ascii="Arial"/>
                <w:color w:val="504D4D"/>
                <w:w w:val="85"/>
                <w:sz w:val="18"/>
              </w:rPr>
              <w:t>i</w:t>
            </w:r>
            <w:r>
              <w:rPr>
                <w:rFonts w:ascii="Arial"/>
                <w:color w:val="18161F"/>
                <w:w w:val="85"/>
                <w:sz w:val="18"/>
              </w:rPr>
              <w:t>ons</w:t>
            </w:r>
          </w:p>
        </w:tc>
        <w:tc>
          <w:tcPr>
            <w:tcW w:w="909" w:type="dxa"/>
          </w:tcPr>
          <w:p>
            <w:pPr>
              <w:pStyle w:val="TableParagraph"/>
              <w:rPr>
                <w:rFonts w:ascii="Times New Roman"/>
                <w:sz w:val="18"/>
              </w:rPr>
            </w:pPr>
          </w:p>
        </w:tc>
        <w:tc>
          <w:tcPr>
            <w:tcW w:w="782" w:type="dxa"/>
          </w:tcPr>
          <w:p>
            <w:pPr>
              <w:pStyle w:val="TableParagraph"/>
              <w:rPr>
                <w:rFonts w:ascii="Times New Roman"/>
                <w:sz w:val="18"/>
              </w:rPr>
            </w:pPr>
          </w:p>
        </w:tc>
        <w:tc>
          <w:tcPr>
            <w:tcW w:w="805" w:type="dxa"/>
          </w:tcPr>
          <w:p>
            <w:pPr>
              <w:pStyle w:val="TableParagraph"/>
              <w:rPr>
                <w:rFonts w:ascii="Times New Roman"/>
                <w:sz w:val="18"/>
              </w:rPr>
            </w:pPr>
          </w:p>
        </w:tc>
        <w:tc>
          <w:tcPr>
            <w:tcW w:w="641" w:type="dxa"/>
          </w:tcPr>
          <w:p>
            <w:pPr>
              <w:pStyle w:val="TableParagraph"/>
              <w:rPr>
                <w:rFonts w:ascii="Times New Roman"/>
                <w:sz w:val="18"/>
              </w:rPr>
            </w:pPr>
          </w:p>
        </w:tc>
        <w:tc>
          <w:tcPr>
            <w:tcW w:w="645" w:type="dxa"/>
          </w:tcPr>
          <w:p>
            <w:pPr>
              <w:pStyle w:val="TableParagraph"/>
              <w:rPr>
                <w:rFonts w:ascii="Times New Roman"/>
                <w:sz w:val="18"/>
              </w:rPr>
            </w:pPr>
          </w:p>
        </w:tc>
      </w:tr>
      <w:tr>
        <w:trPr>
          <w:trHeight w:val="447" w:hRule="atLeast"/>
        </w:trPr>
        <w:tc>
          <w:tcPr>
            <w:tcW w:w="3738" w:type="dxa"/>
          </w:tcPr>
          <w:p>
            <w:pPr>
              <w:pStyle w:val="TableParagraph"/>
              <w:spacing w:before="42"/>
              <w:ind w:left="53"/>
              <w:rPr>
                <w:rFonts w:ascii="Arial"/>
                <w:b/>
                <w:sz w:val="18"/>
              </w:rPr>
            </w:pPr>
            <w:r>
              <w:rPr>
                <w:rFonts w:ascii="Arial"/>
                <w:b/>
                <w:color w:val="030105"/>
                <w:w w:val="85"/>
                <w:sz w:val="18"/>
              </w:rPr>
              <w:t>Tota</w:t>
            </w:r>
            <w:r>
              <w:rPr>
                <w:rFonts w:ascii="Arial"/>
                <w:b/>
                <w:color w:val="18161F"/>
                <w:w w:val="85"/>
                <w:sz w:val="18"/>
              </w:rPr>
              <w:t>l </w:t>
            </w:r>
            <w:r>
              <w:rPr>
                <w:rFonts w:ascii="Arial"/>
                <w:b/>
                <w:color w:val="030105"/>
                <w:w w:val="85"/>
                <w:sz w:val="18"/>
              </w:rPr>
              <w:t>Income from Continuing Opera </w:t>
            </w:r>
            <w:r>
              <w:rPr>
                <w:rFonts w:ascii="Arial"/>
                <w:b/>
                <w:color w:val="18161F"/>
                <w:w w:val="85"/>
                <w:sz w:val="18"/>
              </w:rPr>
              <w:t>ti</w:t>
            </w:r>
            <w:r>
              <w:rPr>
                <w:rFonts w:ascii="Arial"/>
                <w:b/>
                <w:color w:val="030105"/>
                <w:w w:val="85"/>
                <w:sz w:val="18"/>
              </w:rPr>
              <w:t>ons</w:t>
            </w:r>
          </w:p>
        </w:tc>
        <w:tc>
          <w:tcPr>
            <w:tcW w:w="909" w:type="dxa"/>
          </w:tcPr>
          <w:p>
            <w:pPr>
              <w:pStyle w:val="TableParagraph"/>
              <w:spacing w:before="42"/>
              <w:ind w:left="251" w:right="161"/>
              <w:jc w:val="center"/>
              <w:rPr>
                <w:rFonts w:ascii="Arial"/>
                <w:b/>
                <w:sz w:val="18"/>
              </w:rPr>
            </w:pPr>
            <w:r>
              <w:rPr>
                <w:rFonts w:ascii="Arial"/>
                <w:b/>
                <w:color w:val="030105"/>
                <w:w w:val="90"/>
                <w:sz w:val="18"/>
              </w:rPr>
              <w:t>1</w:t>
            </w:r>
            <w:r>
              <w:rPr>
                <w:rFonts w:ascii="Arial"/>
                <w:b/>
                <w:color w:val="18161F"/>
                <w:w w:val="90"/>
                <w:sz w:val="18"/>
              </w:rPr>
              <w:t>,</w:t>
            </w:r>
            <w:r>
              <w:rPr>
                <w:rFonts w:ascii="Arial"/>
                <w:b/>
                <w:color w:val="030105"/>
                <w:w w:val="90"/>
                <w:sz w:val="18"/>
              </w:rPr>
              <w:t>292</w:t>
            </w:r>
          </w:p>
        </w:tc>
        <w:tc>
          <w:tcPr>
            <w:tcW w:w="782" w:type="dxa"/>
          </w:tcPr>
          <w:p>
            <w:pPr>
              <w:pStyle w:val="TableParagraph"/>
              <w:spacing w:before="42"/>
              <w:ind w:right="224"/>
              <w:jc w:val="right"/>
              <w:rPr>
                <w:rFonts w:ascii="Arial"/>
                <w:b/>
                <w:sz w:val="18"/>
              </w:rPr>
            </w:pPr>
            <w:r>
              <w:rPr>
                <w:rFonts w:ascii="Arial"/>
                <w:b/>
                <w:color w:val="030105"/>
                <w:w w:val="80"/>
                <w:sz w:val="18"/>
              </w:rPr>
              <w:t>1</w:t>
            </w:r>
            <w:r>
              <w:rPr>
                <w:rFonts w:ascii="Arial"/>
                <w:b/>
                <w:color w:val="18161F"/>
                <w:w w:val="80"/>
                <w:sz w:val="18"/>
              </w:rPr>
              <w:t>,</w:t>
            </w:r>
            <w:r>
              <w:rPr>
                <w:rFonts w:ascii="Arial"/>
                <w:b/>
                <w:color w:val="030105"/>
                <w:w w:val="80"/>
                <w:sz w:val="18"/>
              </w:rPr>
              <w:t>309</w:t>
            </w:r>
          </w:p>
        </w:tc>
        <w:tc>
          <w:tcPr>
            <w:tcW w:w="805" w:type="dxa"/>
          </w:tcPr>
          <w:p>
            <w:pPr>
              <w:pStyle w:val="TableParagraph"/>
              <w:spacing w:before="42"/>
              <w:ind w:right="232"/>
              <w:jc w:val="right"/>
              <w:rPr>
                <w:rFonts w:ascii="Arial"/>
                <w:b/>
                <w:sz w:val="18"/>
              </w:rPr>
            </w:pPr>
            <w:r>
              <w:rPr>
                <w:rFonts w:ascii="Arial"/>
                <w:b/>
                <w:color w:val="030105"/>
                <w:w w:val="75"/>
                <w:sz w:val="18"/>
              </w:rPr>
              <w:t>1</w:t>
            </w:r>
            <w:r>
              <w:rPr>
                <w:rFonts w:ascii="Arial"/>
                <w:b/>
                <w:color w:val="18161F"/>
                <w:w w:val="75"/>
                <w:sz w:val="18"/>
              </w:rPr>
              <w:t>,</w:t>
            </w:r>
            <w:r>
              <w:rPr>
                <w:rFonts w:ascii="Arial"/>
                <w:b/>
                <w:color w:val="030105"/>
                <w:w w:val="75"/>
                <w:sz w:val="18"/>
              </w:rPr>
              <w:t>202</w:t>
            </w:r>
          </w:p>
        </w:tc>
        <w:tc>
          <w:tcPr>
            <w:tcW w:w="641" w:type="dxa"/>
          </w:tcPr>
          <w:p>
            <w:pPr>
              <w:pStyle w:val="TableParagraph"/>
              <w:spacing w:before="42"/>
              <w:ind w:right="76"/>
              <w:jc w:val="right"/>
              <w:rPr>
                <w:rFonts w:ascii="Arial"/>
                <w:b/>
                <w:sz w:val="18"/>
              </w:rPr>
            </w:pPr>
            <w:r>
              <w:rPr>
                <w:rFonts w:ascii="Arial"/>
                <w:b/>
                <w:color w:val="030105"/>
                <w:w w:val="75"/>
                <w:sz w:val="18"/>
              </w:rPr>
              <w:t>90</w:t>
            </w:r>
          </w:p>
        </w:tc>
        <w:tc>
          <w:tcPr>
            <w:tcW w:w="645" w:type="dxa"/>
          </w:tcPr>
          <w:p>
            <w:pPr>
              <w:pStyle w:val="TableParagraph"/>
              <w:rPr>
                <w:rFonts w:ascii="Times New Roman"/>
                <w:sz w:val="18"/>
              </w:rPr>
            </w:pPr>
          </w:p>
        </w:tc>
      </w:tr>
      <w:tr>
        <w:trPr>
          <w:trHeight w:val="447" w:hRule="atLeast"/>
        </w:trPr>
        <w:tc>
          <w:tcPr>
            <w:tcW w:w="3738" w:type="dxa"/>
          </w:tcPr>
          <w:p>
            <w:pPr>
              <w:pStyle w:val="TableParagraph"/>
              <w:spacing w:before="7"/>
              <w:rPr>
                <w:rFonts w:ascii="Arial"/>
                <w:b/>
                <w:sz w:val="16"/>
              </w:rPr>
            </w:pPr>
          </w:p>
          <w:p>
            <w:pPr>
              <w:pStyle w:val="TableParagraph"/>
              <w:ind w:left="53"/>
              <w:rPr>
                <w:rFonts w:ascii="Arial"/>
                <w:b/>
                <w:sz w:val="18"/>
              </w:rPr>
            </w:pPr>
            <w:r>
              <w:rPr>
                <w:rFonts w:ascii="Arial"/>
                <w:b/>
                <w:color w:val="030105"/>
                <w:spacing w:val="2"/>
                <w:w w:val="76"/>
                <w:sz w:val="18"/>
              </w:rPr>
              <w:t>E</w:t>
            </w:r>
            <w:r>
              <w:rPr>
                <w:rFonts w:ascii="Arial"/>
                <w:b/>
                <w:color w:val="18161F"/>
                <w:spacing w:val="-2"/>
                <w:w w:val="77"/>
                <w:sz w:val="18"/>
              </w:rPr>
              <w:t>x</w:t>
            </w:r>
            <w:r>
              <w:rPr>
                <w:rFonts w:ascii="Arial"/>
                <w:b/>
                <w:color w:val="030105"/>
                <w:spacing w:val="-1"/>
                <w:w w:val="77"/>
                <w:sz w:val="18"/>
              </w:rPr>
              <w:t>p</w:t>
            </w:r>
            <w:r>
              <w:rPr>
                <w:rFonts w:ascii="Arial"/>
                <w:b/>
                <w:color w:val="030105"/>
                <w:spacing w:val="6"/>
                <w:w w:val="77"/>
                <w:sz w:val="18"/>
              </w:rPr>
              <w:t>e</w:t>
            </w:r>
            <w:r>
              <w:rPr>
                <w:rFonts w:ascii="Arial"/>
                <w:b/>
                <w:color w:val="18161F"/>
                <w:spacing w:val="-1"/>
                <w:w w:val="77"/>
                <w:sz w:val="18"/>
              </w:rPr>
              <w:t>n</w:t>
            </w:r>
            <w:r>
              <w:rPr>
                <w:rFonts w:ascii="Arial"/>
                <w:b/>
                <w:color w:val="18161F"/>
                <w:spacing w:val="-2"/>
                <w:w w:val="77"/>
                <w:sz w:val="18"/>
              </w:rPr>
              <w:t>s</w:t>
            </w:r>
            <w:r>
              <w:rPr>
                <w:rFonts w:ascii="Arial"/>
                <w:b/>
                <w:color w:val="030105"/>
                <w:spacing w:val="-1"/>
                <w:w w:val="86"/>
                <w:sz w:val="18"/>
              </w:rPr>
              <w:t>e</w:t>
            </w:r>
            <w:r>
              <w:rPr>
                <w:rFonts w:ascii="Arial"/>
                <w:b/>
                <w:color w:val="030105"/>
                <w:w w:val="86"/>
                <w:sz w:val="18"/>
              </w:rPr>
              <w:t>s</w:t>
            </w:r>
            <w:r>
              <w:rPr>
                <w:rFonts w:ascii="Arial"/>
                <w:b/>
                <w:color w:val="030105"/>
                <w:spacing w:val="-22"/>
                <w:sz w:val="18"/>
              </w:rPr>
              <w:t> </w:t>
            </w:r>
            <w:r>
              <w:rPr>
                <w:rFonts w:ascii="Arial"/>
                <w:b/>
                <w:color w:val="030105"/>
                <w:w w:val="74"/>
                <w:sz w:val="18"/>
              </w:rPr>
              <w:t>fr</w:t>
            </w:r>
            <w:r>
              <w:rPr>
                <w:rFonts w:ascii="Arial"/>
                <w:b/>
                <w:color w:val="030105"/>
                <w:spacing w:val="-79"/>
                <w:w w:val="74"/>
                <w:sz w:val="18"/>
              </w:rPr>
              <w:t>o</w:t>
            </w:r>
            <w:r>
              <w:rPr>
                <w:rFonts w:ascii="Arial"/>
                <w:b/>
                <w:color w:val="18161F"/>
                <w:w w:val="73"/>
                <w:sz w:val="18"/>
              </w:rPr>
              <w:t>m</w:t>
            </w:r>
            <w:r>
              <w:rPr>
                <w:rFonts w:ascii="Arial"/>
                <w:b/>
                <w:color w:val="18161F"/>
                <w:sz w:val="18"/>
              </w:rPr>
              <w:t>  </w:t>
            </w:r>
            <w:r>
              <w:rPr>
                <w:rFonts w:ascii="Arial"/>
                <w:b/>
                <w:color w:val="18161F"/>
                <w:spacing w:val="-18"/>
                <w:sz w:val="18"/>
              </w:rPr>
              <w:t> </w:t>
            </w:r>
            <w:r>
              <w:rPr>
                <w:rFonts w:ascii="Arial"/>
                <w:b/>
                <w:color w:val="030105"/>
                <w:spacing w:val="-1"/>
                <w:w w:val="75"/>
                <w:sz w:val="18"/>
              </w:rPr>
              <w:t>C</w:t>
            </w:r>
            <w:r>
              <w:rPr>
                <w:rFonts w:ascii="Arial"/>
                <w:b/>
                <w:color w:val="030105"/>
                <w:spacing w:val="3"/>
                <w:w w:val="75"/>
                <w:sz w:val="18"/>
              </w:rPr>
              <w:t>o</w:t>
            </w:r>
            <w:r>
              <w:rPr>
                <w:rFonts w:ascii="Arial"/>
                <w:b/>
                <w:color w:val="18161F"/>
                <w:spacing w:val="6"/>
                <w:w w:val="77"/>
                <w:sz w:val="18"/>
              </w:rPr>
              <w:t>n</w:t>
            </w:r>
            <w:r>
              <w:rPr>
                <w:rFonts w:ascii="Arial"/>
                <w:b/>
                <w:color w:val="030105"/>
                <w:spacing w:val="1"/>
                <w:w w:val="77"/>
                <w:sz w:val="18"/>
              </w:rPr>
              <w:t>t</w:t>
            </w:r>
            <w:r>
              <w:rPr>
                <w:rFonts w:ascii="Arial"/>
                <w:b/>
                <w:color w:val="18161F"/>
                <w:spacing w:val="-9"/>
                <w:w w:val="76"/>
                <w:sz w:val="18"/>
              </w:rPr>
              <w:t>i</w:t>
            </w:r>
            <w:r>
              <w:rPr>
                <w:rFonts w:ascii="Arial"/>
                <w:b/>
                <w:color w:val="030105"/>
                <w:spacing w:val="-1"/>
                <w:w w:val="82"/>
                <w:sz w:val="18"/>
              </w:rPr>
              <w:t>n</w:t>
            </w:r>
            <w:r>
              <w:rPr>
                <w:rFonts w:ascii="Arial"/>
                <w:b/>
                <w:color w:val="030105"/>
                <w:spacing w:val="-3"/>
                <w:w w:val="82"/>
                <w:sz w:val="18"/>
              </w:rPr>
              <w:t>u</w:t>
            </w:r>
            <w:r>
              <w:rPr>
                <w:rFonts w:ascii="Arial"/>
                <w:b/>
                <w:color w:val="18161F"/>
                <w:spacing w:val="-1"/>
                <w:w w:val="76"/>
                <w:sz w:val="18"/>
              </w:rPr>
              <w:t>i</w:t>
            </w:r>
            <w:r>
              <w:rPr>
                <w:rFonts w:ascii="Arial"/>
                <w:b/>
                <w:color w:val="18161F"/>
                <w:spacing w:val="4"/>
                <w:w w:val="76"/>
                <w:sz w:val="18"/>
              </w:rPr>
              <w:t>n</w:t>
            </w:r>
            <w:r>
              <w:rPr>
                <w:rFonts w:ascii="Arial"/>
                <w:b/>
                <w:color w:val="030105"/>
                <w:w w:val="82"/>
                <w:sz w:val="18"/>
              </w:rPr>
              <w:t>g</w:t>
            </w:r>
            <w:r>
              <w:rPr>
                <w:rFonts w:ascii="Arial"/>
                <w:b/>
                <w:color w:val="030105"/>
                <w:spacing w:val="-11"/>
                <w:sz w:val="18"/>
              </w:rPr>
              <w:t> </w:t>
            </w:r>
            <w:r>
              <w:rPr>
                <w:rFonts w:ascii="Arial"/>
                <w:b/>
                <w:color w:val="030105"/>
                <w:spacing w:val="-1"/>
                <w:w w:val="75"/>
                <w:sz w:val="18"/>
              </w:rPr>
              <w:t>O</w:t>
            </w:r>
            <w:r>
              <w:rPr>
                <w:rFonts w:ascii="Arial"/>
                <w:b/>
                <w:color w:val="030105"/>
                <w:spacing w:val="1"/>
                <w:w w:val="75"/>
                <w:sz w:val="18"/>
              </w:rPr>
              <w:t>p</w:t>
            </w:r>
            <w:r>
              <w:rPr>
                <w:rFonts w:ascii="Arial"/>
                <w:b/>
                <w:color w:val="18161F"/>
                <w:spacing w:val="-10"/>
                <w:w w:val="80"/>
                <w:sz w:val="18"/>
              </w:rPr>
              <w:t>e</w:t>
            </w:r>
            <w:r>
              <w:rPr>
                <w:rFonts w:ascii="Arial"/>
                <w:b/>
                <w:color w:val="030105"/>
                <w:spacing w:val="-1"/>
                <w:w w:val="85"/>
                <w:sz w:val="18"/>
              </w:rPr>
              <w:t>ra</w:t>
            </w:r>
            <w:r>
              <w:rPr>
                <w:rFonts w:ascii="Arial"/>
                <w:b/>
                <w:color w:val="030105"/>
                <w:spacing w:val="-10"/>
                <w:w w:val="85"/>
                <w:sz w:val="18"/>
              </w:rPr>
              <w:t>t</w:t>
            </w:r>
            <w:r>
              <w:rPr>
                <w:rFonts w:ascii="Arial"/>
                <w:b/>
                <w:color w:val="18161F"/>
                <w:spacing w:val="-9"/>
                <w:w w:val="95"/>
                <w:sz w:val="18"/>
              </w:rPr>
              <w:t>i</w:t>
            </w:r>
            <w:r>
              <w:rPr>
                <w:rFonts w:ascii="Arial"/>
                <w:b/>
                <w:color w:val="030105"/>
                <w:spacing w:val="9"/>
                <w:w w:val="78"/>
                <w:sz w:val="18"/>
              </w:rPr>
              <w:t>o</w:t>
            </w:r>
            <w:r>
              <w:rPr>
                <w:rFonts w:ascii="Arial"/>
                <w:b/>
                <w:color w:val="18161F"/>
                <w:spacing w:val="-1"/>
                <w:w w:val="77"/>
                <w:sz w:val="18"/>
              </w:rPr>
              <w:t>ns</w:t>
            </w:r>
          </w:p>
        </w:tc>
        <w:tc>
          <w:tcPr>
            <w:tcW w:w="909" w:type="dxa"/>
          </w:tcPr>
          <w:p>
            <w:pPr>
              <w:pStyle w:val="TableParagraph"/>
              <w:rPr>
                <w:rFonts w:ascii="Times New Roman"/>
                <w:sz w:val="18"/>
              </w:rPr>
            </w:pPr>
          </w:p>
        </w:tc>
        <w:tc>
          <w:tcPr>
            <w:tcW w:w="782" w:type="dxa"/>
          </w:tcPr>
          <w:p>
            <w:pPr>
              <w:pStyle w:val="TableParagraph"/>
              <w:rPr>
                <w:rFonts w:ascii="Times New Roman"/>
                <w:sz w:val="18"/>
              </w:rPr>
            </w:pPr>
          </w:p>
        </w:tc>
        <w:tc>
          <w:tcPr>
            <w:tcW w:w="805" w:type="dxa"/>
          </w:tcPr>
          <w:p>
            <w:pPr>
              <w:pStyle w:val="TableParagraph"/>
              <w:rPr>
                <w:rFonts w:ascii="Times New Roman"/>
                <w:sz w:val="18"/>
              </w:rPr>
            </w:pPr>
          </w:p>
        </w:tc>
        <w:tc>
          <w:tcPr>
            <w:tcW w:w="641" w:type="dxa"/>
          </w:tcPr>
          <w:p>
            <w:pPr>
              <w:pStyle w:val="TableParagraph"/>
              <w:rPr>
                <w:rFonts w:ascii="Times New Roman"/>
                <w:sz w:val="18"/>
              </w:rPr>
            </w:pPr>
          </w:p>
        </w:tc>
        <w:tc>
          <w:tcPr>
            <w:tcW w:w="645" w:type="dxa"/>
          </w:tcPr>
          <w:p>
            <w:pPr>
              <w:pStyle w:val="TableParagraph"/>
              <w:rPr>
                <w:rFonts w:ascii="Times New Roman"/>
                <w:sz w:val="18"/>
              </w:rPr>
            </w:pPr>
          </w:p>
        </w:tc>
      </w:tr>
      <w:tr>
        <w:trPr>
          <w:trHeight w:val="300" w:hRule="atLeast"/>
        </w:trPr>
        <w:tc>
          <w:tcPr>
            <w:tcW w:w="3738" w:type="dxa"/>
          </w:tcPr>
          <w:p>
            <w:pPr>
              <w:pStyle w:val="TableParagraph"/>
              <w:spacing w:before="42"/>
              <w:ind w:left="52"/>
              <w:rPr>
                <w:rFonts w:ascii="Arial"/>
                <w:sz w:val="18"/>
              </w:rPr>
            </w:pPr>
            <w:r>
              <w:rPr>
                <w:rFonts w:ascii="Arial"/>
                <w:color w:val="030105"/>
                <w:w w:val="90"/>
                <w:sz w:val="18"/>
              </w:rPr>
              <w:t>E</w:t>
            </w:r>
            <w:r>
              <w:rPr>
                <w:rFonts w:ascii="Arial"/>
                <w:color w:val="18161F"/>
                <w:w w:val="90"/>
                <w:sz w:val="18"/>
              </w:rPr>
              <w:t>mployee expenses</w:t>
            </w:r>
          </w:p>
        </w:tc>
        <w:tc>
          <w:tcPr>
            <w:tcW w:w="909" w:type="dxa"/>
          </w:tcPr>
          <w:p>
            <w:pPr>
              <w:pStyle w:val="TableParagraph"/>
              <w:spacing w:before="42"/>
              <w:ind w:left="266" w:right="64"/>
              <w:jc w:val="center"/>
              <w:rPr>
                <w:rFonts w:ascii="Arial"/>
                <w:sz w:val="18"/>
              </w:rPr>
            </w:pPr>
            <w:r>
              <w:rPr>
                <w:rFonts w:ascii="Arial"/>
                <w:color w:val="18161F"/>
                <w:w w:val="85"/>
                <w:sz w:val="18"/>
              </w:rPr>
              <w:t>840</w:t>
            </w:r>
          </w:p>
        </w:tc>
        <w:tc>
          <w:tcPr>
            <w:tcW w:w="782" w:type="dxa"/>
          </w:tcPr>
          <w:p>
            <w:pPr>
              <w:pStyle w:val="TableParagraph"/>
              <w:spacing w:before="42"/>
              <w:ind w:right="221"/>
              <w:jc w:val="right"/>
              <w:rPr>
                <w:rFonts w:ascii="Arial"/>
                <w:sz w:val="18"/>
              </w:rPr>
            </w:pPr>
            <w:r>
              <w:rPr>
                <w:rFonts w:ascii="Arial"/>
                <w:color w:val="18161F"/>
                <w:w w:val="80"/>
                <w:sz w:val="18"/>
              </w:rPr>
              <w:t>1</w:t>
            </w:r>
            <w:r>
              <w:rPr>
                <w:rFonts w:ascii="Arial"/>
                <w:color w:val="504D4D"/>
                <w:w w:val="80"/>
                <w:sz w:val="18"/>
              </w:rPr>
              <w:t>,</w:t>
            </w:r>
            <w:r>
              <w:rPr>
                <w:rFonts w:ascii="Arial"/>
                <w:color w:val="18161F"/>
                <w:w w:val="80"/>
                <w:sz w:val="18"/>
              </w:rPr>
              <w:t>009</w:t>
            </w:r>
          </w:p>
        </w:tc>
        <w:tc>
          <w:tcPr>
            <w:tcW w:w="805" w:type="dxa"/>
          </w:tcPr>
          <w:p>
            <w:pPr>
              <w:pStyle w:val="TableParagraph"/>
              <w:spacing w:before="42"/>
              <w:ind w:right="234"/>
              <w:jc w:val="right"/>
              <w:rPr>
                <w:rFonts w:ascii="Arial"/>
                <w:sz w:val="18"/>
              </w:rPr>
            </w:pPr>
            <w:r>
              <w:rPr>
                <w:rFonts w:ascii="Arial"/>
                <w:color w:val="18161F"/>
                <w:w w:val="75"/>
                <w:sz w:val="18"/>
              </w:rPr>
              <w:t>873</w:t>
            </w:r>
          </w:p>
        </w:tc>
        <w:tc>
          <w:tcPr>
            <w:tcW w:w="641" w:type="dxa"/>
          </w:tcPr>
          <w:p>
            <w:pPr>
              <w:pStyle w:val="TableParagraph"/>
              <w:spacing w:before="42"/>
              <w:ind w:right="71"/>
              <w:jc w:val="right"/>
              <w:rPr>
                <w:rFonts w:ascii="Arial"/>
                <w:sz w:val="18"/>
              </w:rPr>
            </w:pPr>
            <w:r>
              <w:rPr>
                <w:rFonts w:ascii="Arial"/>
                <w:color w:val="18161F"/>
                <w:w w:val="85"/>
                <w:sz w:val="18"/>
              </w:rPr>
              <w:t>(33</w:t>
            </w:r>
            <w:r>
              <w:rPr>
                <w:rFonts w:ascii="Arial"/>
                <w:color w:val="3F363B"/>
                <w:w w:val="85"/>
                <w:sz w:val="18"/>
              </w:rPr>
              <w:t>)</w:t>
            </w:r>
          </w:p>
        </w:tc>
        <w:tc>
          <w:tcPr>
            <w:tcW w:w="645" w:type="dxa"/>
          </w:tcPr>
          <w:p>
            <w:pPr>
              <w:pStyle w:val="TableParagraph"/>
              <w:spacing w:before="42"/>
              <w:ind w:right="39"/>
              <w:jc w:val="center"/>
              <w:rPr>
                <w:rFonts w:ascii="Arial"/>
                <w:sz w:val="18"/>
              </w:rPr>
            </w:pPr>
            <w:r>
              <w:rPr>
                <w:rFonts w:ascii="Arial"/>
                <w:color w:val="18161F"/>
                <w:w w:val="82"/>
                <w:sz w:val="18"/>
              </w:rPr>
              <w:t>2</w:t>
            </w:r>
          </w:p>
        </w:tc>
      </w:tr>
      <w:tr>
        <w:trPr>
          <w:trHeight w:val="300" w:hRule="atLeast"/>
        </w:trPr>
        <w:tc>
          <w:tcPr>
            <w:tcW w:w="3738" w:type="dxa"/>
          </w:tcPr>
          <w:p>
            <w:pPr>
              <w:pStyle w:val="TableParagraph"/>
              <w:spacing w:before="45"/>
              <w:ind w:left="53"/>
              <w:rPr>
                <w:rFonts w:ascii="Arial"/>
                <w:sz w:val="18"/>
              </w:rPr>
            </w:pPr>
            <w:r>
              <w:rPr>
                <w:rFonts w:ascii="Arial"/>
                <w:color w:val="18161F"/>
                <w:w w:val="85"/>
                <w:sz w:val="18"/>
              </w:rPr>
              <w:t>Supplies and serv</w:t>
            </w:r>
            <w:r>
              <w:rPr>
                <w:rFonts w:ascii="Arial"/>
                <w:color w:val="030105"/>
                <w:w w:val="85"/>
                <w:sz w:val="18"/>
              </w:rPr>
              <w:t>i</w:t>
            </w:r>
            <w:r>
              <w:rPr>
                <w:rFonts w:ascii="Arial"/>
                <w:color w:val="18161F"/>
                <w:w w:val="85"/>
                <w:sz w:val="18"/>
              </w:rPr>
              <w:t>ces</w:t>
            </w:r>
          </w:p>
        </w:tc>
        <w:tc>
          <w:tcPr>
            <w:tcW w:w="909" w:type="dxa"/>
          </w:tcPr>
          <w:p>
            <w:pPr>
              <w:pStyle w:val="TableParagraph"/>
              <w:spacing w:before="45"/>
              <w:ind w:left="266" w:right="67"/>
              <w:jc w:val="center"/>
              <w:rPr>
                <w:rFonts w:ascii="Arial"/>
                <w:sz w:val="18"/>
              </w:rPr>
            </w:pPr>
            <w:r>
              <w:rPr>
                <w:rFonts w:ascii="Arial"/>
                <w:color w:val="18161F"/>
                <w:w w:val="85"/>
                <w:sz w:val="18"/>
              </w:rPr>
              <w:t>340</w:t>
            </w:r>
          </w:p>
        </w:tc>
        <w:tc>
          <w:tcPr>
            <w:tcW w:w="782" w:type="dxa"/>
          </w:tcPr>
          <w:p>
            <w:pPr>
              <w:pStyle w:val="TableParagraph"/>
              <w:spacing w:before="45"/>
              <w:ind w:right="224"/>
              <w:jc w:val="right"/>
              <w:rPr>
                <w:rFonts w:ascii="Arial"/>
                <w:sz w:val="18"/>
              </w:rPr>
            </w:pPr>
            <w:r>
              <w:rPr>
                <w:rFonts w:ascii="Arial"/>
                <w:color w:val="18161F"/>
                <w:w w:val="75"/>
                <w:sz w:val="18"/>
              </w:rPr>
              <w:t>295</w:t>
            </w:r>
          </w:p>
        </w:tc>
        <w:tc>
          <w:tcPr>
            <w:tcW w:w="805" w:type="dxa"/>
          </w:tcPr>
          <w:p>
            <w:pPr>
              <w:pStyle w:val="TableParagraph"/>
              <w:spacing w:before="45"/>
              <w:ind w:right="236"/>
              <w:jc w:val="right"/>
              <w:rPr>
                <w:rFonts w:ascii="Arial"/>
                <w:sz w:val="18"/>
              </w:rPr>
            </w:pPr>
            <w:r>
              <w:rPr>
                <w:rFonts w:ascii="Arial"/>
                <w:color w:val="18161F"/>
                <w:w w:val="75"/>
                <w:sz w:val="18"/>
              </w:rPr>
              <w:t>327</w:t>
            </w:r>
          </w:p>
        </w:tc>
        <w:tc>
          <w:tcPr>
            <w:tcW w:w="641" w:type="dxa"/>
          </w:tcPr>
          <w:p>
            <w:pPr>
              <w:pStyle w:val="TableParagraph"/>
              <w:spacing w:before="45"/>
              <w:ind w:right="74"/>
              <w:jc w:val="right"/>
              <w:rPr>
                <w:rFonts w:ascii="Arial"/>
                <w:sz w:val="18"/>
              </w:rPr>
            </w:pPr>
            <w:r>
              <w:rPr>
                <w:rFonts w:ascii="Arial"/>
                <w:color w:val="283141"/>
                <w:w w:val="80"/>
                <w:sz w:val="18"/>
              </w:rPr>
              <w:t>1</w:t>
            </w:r>
            <w:r>
              <w:rPr>
                <w:rFonts w:ascii="Arial"/>
                <w:color w:val="18161F"/>
                <w:w w:val="80"/>
                <w:sz w:val="18"/>
              </w:rPr>
              <w:t>3</w:t>
            </w:r>
          </w:p>
        </w:tc>
        <w:tc>
          <w:tcPr>
            <w:tcW w:w="645" w:type="dxa"/>
          </w:tcPr>
          <w:p>
            <w:pPr>
              <w:pStyle w:val="TableParagraph"/>
              <w:spacing w:before="45"/>
              <w:ind w:right="38"/>
              <w:jc w:val="center"/>
              <w:rPr>
                <w:rFonts w:ascii="Arial"/>
                <w:sz w:val="18"/>
              </w:rPr>
            </w:pPr>
            <w:r>
              <w:rPr>
                <w:rFonts w:ascii="Arial"/>
                <w:color w:val="18161F"/>
                <w:w w:val="78"/>
                <w:sz w:val="18"/>
              </w:rPr>
              <w:t>3</w:t>
            </w:r>
          </w:p>
        </w:tc>
      </w:tr>
      <w:tr>
        <w:trPr>
          <w:trHeight w:val="298" w:hRule="atLeast"/>
        </w:trPr>
        <w:tc>
          <w:tcPr>
            <w:tcW w:w="3738" w:type="dxa"/>
          </w:tcPr>
          <w:p>
            <w:pPr>
              <w:pStyle w:val="TableParagraph"/>
              <w:spacing w:before="42"/>
              <w:ind w:left="52"/>
              <w:rPr>
                <w:rFonts w:ascii="Arial"/>
                <w:sz w:val="18"/>
              </w:rPr>
            </w:pPr>
            <w:r>
              <w:rPr>
                <w:rFonts w:ascii="Arial"/>
                <w:color w:val="18161F"/>
                <w:w w:val="90"/>
                <w:sz w:val="18"/>
              </w:rPr>
              <w:t>G</w:t>
            </w:r>
            <w:r>
              <w:rPr>
                <w:rFonts w:ascii="Arial"/>
                <w:color w:val="3F363B"/>
                <w:w w:val="90"/>
                <w:sz w:val="18"/>
              </w:rPr>
              <w:t>r</w:t>
            </w:r>
            <w:r>
              <w:rPr>
                <w:rFonts w:ascii="Arial"/>
                <w:color w:val="030105"/>
                <w:w w:val="90"/>
                <w:sz w:val="18"/>
              </w:rPr>
              <w:t>a</w:t>
            </w:r>
            <w:r>
              <w:rPr>
                <w:rFonts w:ascii="Arial"/>
                <w:color w:val="18161F"/>
                <w:w w:val="90"/>
                <w:sz w:val="18"/>
              </w:rPr>
              <w:t>nts and subsid</w:t>
            </w:r>
            <w:r>
              <w:rPr>
                <w:rFonts w:ascii="Arial"/>
                <w:color w:val="030105"/>
                <w:w w:val="90"/>
                <w:sz w:val="18"/>
              </w:rPr>
              <w:t>i</w:t>
            </w:r>
            <w:r>
              <w:rPr>
                <w:rFonts w:ascii="Arial"/>
                <w:color w:val="18161F"/>
                <w:w w:val="90"/>
                <w:sz w:val="18"/>
              </w:rPr>
              <w:t>es</w:t>
            </w:r>
          </w:p>
        </w:tc>
        <w:tc>
          <w:tcPr>
            <w:tcW w:w="909" w:type="dxa"/>
          </w:tcPr>
          <w:p>
            <w:pPr>
              <w:pStyle w:val="TableParagraph"/>
              <w:rPr>
                <w:rFonts w:ascii="Times New Roman"/>
                <w:sz w:val="18"/>
              </w:rPr>
            </w:pPr>
          </w:p>
        </w:tc>
        <w:tc>
          <w:tcPr>
            <w:tcW w:w="782" w:type="dxa"/>
          </w:tcPr>
          <w:p>
            <w:pPr>
              <w:pStyle w:val="TableParagraph"/>
              <w:spacing w:before="42"/>
              <w:ind w:right="220"/>
              <w:jc w:val="right"/>
              <w:rPr>
                <w:rFonts w:ascii="Arial"/>
                <w:sz w:val="18"/>
              </w:rPr>
            </w:pPr>
            <w:r>
              <w:rPr>
                <w:rFonts w:ascii="Arial"/>
                <w:color w:val="18161F"/>
                <w:w w:val="77"/>
                <w:sz w:val="18"/>
              </w:rPr>
              <w:t>5</w:t>
            </w:r>
          </w:p>
        </w:tc>
        <w:tc>
          <w:tcPr>
            <w:tcW w:w="805" w:type="dxa"/>
          </w:tcPr>
          <w:p>
            <w:pPr>
              <w:pStyle w:val="TableParagraph"/>
              <w:rPr>
                <w:rFonts w:ascii="Times New Roman"/>
                <w:sz w:val="18"/>
              </w:rPr>
            </w:pPr>
          </w:p>
        </w:tc>
        <w:tc>
          <w:tcPr>
            <w:tcW w:w="641" w:type="dxa"/>
          </w:tcPr>
          <w:p>
            <w:pPr>
              <w:pStyle w:val="TableParagraph"/>
              <w:rPr>
                <w:rFonts w:ascii="Times New Roman"/>
                <w:sz w:val="18"/>
              </w:rPr>
            </w:pPr>
          </w:p>
        </w:tc>
        <w:tc>
          <w:tcPr>
            <w:tcW w:w="645" w:type="dxa"/>
          </w:tcPr>
          <w:p>
            <w:pPr>
              <w:pStyle w:val="TableParagraph"/>
              <w:rPr>
                <w:rFonts w:ascii="Times New Roman"/>
                <w:sz w:val="18"/>
              </w:rPr>
            </w:pPr>
          </w:p>
        </w:tc>
      </w:tr>
      <w:tr>
        <w:trPr>
          <w:trHeight w:val="288" w:hRule="atLeast"/>
        </w:trPr>
        <w:tc>
          <w:tcPr>
            <w:tcW w:w="3738" w:type="dxa"/>
          </w:tcPr>
          <w:p>
            <w:pPr>
              <w:pStyle w:val="TableParagraph"/>
              <w:spacing w:before="47"/>
              <w:ind w:left="53"/>
              <w:rPr>
                <w:rFonts w:ascii="Arial"/>
                <w:sz w:val="18"/>
              </w:rPr>
            </w:pPr>
            <w:r>
              <w:rPr>
                <w:rFonts w:ascii="Arial"/>
                <w:color w:val="18161F"/>
                <w:w w:val="85"/>
                <w:sz w:val="18"/>
              </w:rPr>
              <w:t>De</w:t>
            </w:r>
            <w:r>
              <w:rPr>
                <w:rFonts w:ascii="Arial"/>
                <w:color w:val="030105"/>
                <w:w w:val="85"/>
                <w:sz w:val="18"/>
              </w:rPr>
              <w:t>pr</w:t>
            </w:r>
            <w:r>
              <w:rPr>
                <w:rFonts w:ascii="Arial"/>
                <w:color w:val="18161F"/>
                <w:w w:val="85"/>
                <w:sz w:val="18"/>
              </w:rPr>
              <w:t>ec</w:t>
            </w:r>
            <w:r>
              <w:rPr>
                <w:rFonts w:ascii="Arial"/>
                <w:color w:val="504D4D"/>
                <w:w w:val="85"/>
                <w:sz w:val="18"/>
              </w:rPr>
              <w:t>i</w:t>
            </w:r>
            <w:r>
              <w:rPr>
                <w:rFonts w:ascii="Arial"/>
                <w:color w:val="18161F"/>
                <w:w w:val="85"/>
                <w:sz w:val="18"/>
              </w:rPr>
              <w:t>ation and amo rtis</w:t>
            </w:r>
            <w:r>
              <w:rPr>
                <w:rFonts w:ascii="Arial"/>
                <w:color w:val="030105"/>
                <w:w w:val="85"/>
                <w:sz w:val="18"/>
              </w:rPr>
              <w:t>a</w:t>
            </w:r>
            <w:r>
              <w:rPr>
                <w:rFonts w:ascii="Arial"/>
                <w:color w:val="18161F"/>
                <w:w w:val="85"/>
                <w:sz w:val="18"/>
              </w:rPr>
              <w:t>t</w:t>
            </w:r>
            <w:r>
              <w:rPr>
                <w:rFonts w:ascii="Arial"/>
                <w:color w:val="504D4D"/>
                <w:w w:val="85"/>
                <w:sz w:val="18"/>
              </w:rPr>
              <w:t>i</w:t>
            </w:r>
            <w:r>
              <w:rPr>
                <w:rFonts w:ascii="Arial"/>
                <w:color w:val="18161F"/>
                <w:w w:val="85"/>
                <w:sz w:val="18"/>
              </w:rPr>
              <w:t>on</w:t>
            </w:r>
          </w:p>
        </w:tc>
        <w:tc>
          <w:tcPr>
            <w:tcW w:w="909" w:type="dxa"/>
          </w:tcPr>
          <w:p>
            <w:pPr>
              <w:pStyle w:val="TableParagraph"/>
              <w:rPr>
                <w:rFonts w:ascii="Times New Roman"/>
                <w:sz w:val="18"/>
              </w:rPr>
            </w:pPr>
          </w:p>
        </w:tc>
        <w:tc>
          <w:tcPr>
            <w:tcW w:w="782" w:type="dxa"/>
          </w:tcPr>
          <w:p>
            <w:pPr>
              <w:pStyle w:val="TableParagraph"/>
              <w:rPr>
                <w:rFonts w:ascii="Times New Roman"/>
                <w:sz w:val="18"/>
              </w:rPr>
            </w:pPr>
          </w:p>
        </w:tc>
        <w:tc>
          <w:tcPr>
            <w:tcW w:w="805" w:type="dxa"/>
          </w:tcPr>
          <w:p>
            <w:pPr>
              <w:pStyle w:val="TableParagraph"/>
              <w:spacing w:before="47"/>
              <w:ind w:right="230"/>
              <w:jc w:val="right"/>
              <w:rPr>
                <w:rFonts w:ascii="Arial"/>
                <w:sz w:val="18"/>
              </w:rPr>
            </w:pPr>
            <w:r>
              <w:rPr>
                <w:rFonts w:ascii="Arial"/>
                <w:color w:val="18161F"/>
                <w:w w:val="77"/>
                <w:sz w:val="18"/>
              </w:rPr>
              <w:t>2</w:t>
            </w:r>
          </w:p>
        </w:tc>
        <w:tc>
          <w:tcPr>
            <w:tcW w:w="641" w:type="dxa"/>
          </w:tcPr>
          <w:p>
            <w:pPr>
              <w:pStyle w:val="TableParagraph"/>
              <w:spacing w:before="42"/>
              <w:ind w:right="71"/>
              <w:jc w:val="right"/>
              <w:rPr>
                <w:rFonts w:ascii="Arial"/>
                <w:sz w:val="18"/>
              </w:rPr>
            </w:pPr>
            <w:r>
              <w:rPr>
                <w:rFonts w:ascii="Arial"/>
                <w:color w:val="18161F"/>
                <w:w w:val="85"/>
                <w:sz w:val="18"/>
              </w:rPr>
              <w:t>(1</w:t>
            </w:r>
            <w:r>
              <w:rPr>
                <w:rFonts w:ascii="Arial"/>
                <w:color w:val="3F363B"/>
                <w:w w:val="85"/>
                <w:sz w:val="18"/>
              </w:rPr>
              <w:t>)</w:t>
            </w:r>
          </w:p>
        </w:tc>
        <w:tc>
          <w:tcPr>
            <w:tcW w:w="645" w:type="dxa"/>
          </w:tcPr>
          <w:p>
            <w:pPr>
              <w:pStyle w:val="TableParagraph"/>
              <w:rPr>
                <w:rFonts w:ascii="Times New Roman"/>
                <w:sz w:val="18"/>
              </w:rPr>
            </w:pPr>
          </w:p>
        </w:tc>
      </w:tr>
      <w:tr>
        <w:trPr>
          <w:trHeight w:val="581" w:hRule="atLeast"/>
        </w:trPr>
        <w:tc>
          <w:tcPr>
            <w:tcW w:w="3738" w:type="dxa"/>
          </w:tcPr>
          <w:p>
            <w:pPr>
              <w:pStyle w:val="TableParagraph"/>
              <w:spacing w:before="28"/>
              <w:ind w:left="53"/>
              <w:rPr>
                <w:rFonts w:ascii="Arial"/>
                <w:b/>
                <w:sz w:val="18"/>
              </w:rPr>
            </w:pPr>
            <w:r>
              <w:rPr>
                <w:rFonts w:ascii="Arial"/>
                <w:b/>
                <w:color w:val="030105"/>
                <w:w w:val="85"/>
                <w:sz w:val="18"/>
              </w:rPr>
              <w:t>Tota</w:t>
            </w:r>
            <w:r>
              <w:rPr>
                <w:rFonts w:ascii="Arial"/>
                <w:b/>
                <w:color w:val="18161F"/>
                <w:w w:val="85"/>
                <w:sz w:val="18"/>
              </w:rPr>
              <w:t>l </w:t>
            </w:r>
            <w:r>
              <w:rPr>
                <w:rFonts w:ascii="Arial"/>
                <w:b/>
                <w:color w:val="030105"/>
                <w:w w:val="85"/>
                <w:sz w:val="18"/>
              </w:rPr>
              <w:t>Expenses from Cont</w:t>
            </w:r>
            <w:r>
              <w:rPr>
                <w:rFonts w:ascii="Arial"/>
                <w:b/>
                <w:color w:val="18161F"/>
                <w:w w:val="85"/>
                <w:sz w:val="18"/>
              </w:rPr>
              <w:t>i</w:t>
            </w:r>
            <w:r>
              <w:rPr>
                <w:rFonts w:ascii="Arial"/>
                <w:b/>
                <w:color w:val="030105"/>
                <w:w w:val="85"/>
                <w:sz w:val="18"/>
              </w:rPr>
              <w:t>nuing Operat </w:t>
            </w:r>
            <w:r>
              <w:rPr>
                <w:rFonts w:ascii="Arial"/>
                <w:b/>
                <w:color w:val="18161F"/>
                <w:w w:val="85"/>
                <w:sz w:val="18"/>
              </w:rPr>
              <w:t>i</w:t>
            </w:r>
            <w:r>
              <w:rPr>
                <w:rFonts w:ascii="Arial"/>
                <w:b/>
                <w:color w:val="030105"/>
                <w:w w:val="85"/>
                <w:sz w:val="18"/>
              </w:rPr>
              <w:t>ons</w:t>
            </w:r>
          </w:p>
        </w:tc>
        <w:tc>
          <w:tcPr>
            <w:tcW w:w="909" w:type="dxa"/>
            <w:tcBorders>
              <w:bottom w:val="single" w:sz="8" w:space="0" w:color="000000"/>
            </w:tcBorders>
          </w:tcPr>
          <w:p>
            <w:pPr>
              <w:pStyle w:val="TableParagraph"/>
              <w:spacing w:before="52"/>
              <w:ind w:left="230" w:right="161"/>
              <w:jc w:val="center"/>
              <w:rPr>
                <w:rFonts w:ascii="Arial"/>
                <w:b/>
                <w:sz w:val="18"/>
              </w:rPr>
            </w:pPr>
            <w:r>
              <w:rPr>
                <w:rFonts w:ascii="Arial"/>
                <w:b/>
                <w:color w:val="030105"/>
                <w:w w:val="90"/>
                <w:sz w:val="18"/>
              </w:rPr>
              <w:t>1</w:t>
            </w:r>
            <w:r>
              <w:rPr>
                <w:rFonts w:ascii="Arial"/>
                <w:b/>
                <w:color w:val="18161F"/>
                <w:w w:val="90"/>
                <w:sz w:val="18"/>
              </w:rPr>
              <w:t>,</w:t>
            </w:r>
            <w:r>
              <w:rPr>
                <w:rFonts w:ascii="Arial"/>
                <w:b/>
                <w:color w:val="030105"/>
                <w:w w:val="90"/>
                <w:sz w:val="18"/>
              </w:rPr>
              <w:t>181</w:t>
            </w:r>
          </w:p>
        </w:tc>
        <w:tc>
          <w:tcPr>
            <w:tcW w:w="782" w:type="dxa"/>
            <w:tcBorders>
              <w:bottom w:val="single" w:sz="8" w:space="0" w:color="000000"/>
            </w:tcBorders>
          </w:tcPr>
          <w:p>
            <w:pPr>
              <w:pStyle w:val="TableParagraph"/>
              <w:spacing w:before="52"/>
              <w:ind w:right="213"/>
              <w:jc w:val="right"/>
              <w:rPr>
                <w:rFonts w:ascii="Arial"/>
                <w:b/>
                <w:sz w:val="18"/>
              </w:rPr>
            </w:pPr>
            <w:r>
              <w:rPr>
                <w:rFonts w:ascii="Arial"/>
                <w:b/>
                <w:color w:val="030105"/>
                <w:w w:val="80"/>
                <w:sz w:val="18"/>
              </w:rPr>
              <w:t>1</w:t>
            </w:r>
            <w:r>
              <w:rPr>
                <w:rFonts w:ascii="Arial"/>
                <w:b/>
                <w:color w:val="18161F"/>
                <w:w w:val="80"/>
                <w:sz w:val="18"/>
              </w:rPr>
              <w:t>,</w:t>
            </w:r>
            <w:r>
              <w:rPr>
                <w:rFonts w:ascii="Arial"/>
                <w:b/>
                <w:color w:val="030105"/>
                <w:w w:val="80"/>
                <w:sz w:val="18"/>
              </w:rPr>
              <w:t>309</w:t>
            </w:r>
          </w:p>
        </w:tc>
        <w:tc>
          <w:tcPr>
            <w:tcW w:w="805" w:type="dxa"/>
            <w:tcBorders>
              <w:bottom w:val="single" w:sz="8" w:space="0" w:color="000000"/>
            </w:tcBorders>
          </w:tcPr>
          <w:p>
            <w:pPr>
              <w:pStyle w:val="TableParagraph"/>
              <w:spacing w:before="52"/>
              <w:ind w:right="236"/>
              <w:jc w:val="right"/>
              <w:rPr>
                <w:rFonts w:ascii="Arial"/>
                <w:b/>
                <w:sz w:val="18"/>
              </w:rPr>
            </w:pPr>
            <w:r>
              <w:rPr>
                <w:rFonts w:ascii="Arial"/>
                <w:b/>
                <w:color w:val="030105"/>
                <w:w w:val="75"/>
                <w:sz w:val="18"/>
              </w:rPr>
              <w:t>1</w:t>
            </w:r>
            <w:r>
              <w:rPr>
                <w:rFonts w:ascii="Arial"/>
                <w:b/>
                <w:color w:val="283141"/>
                <w:w w:val="75"/>
                <w:sz w:val="18"/>
              </w:rPr>
              <w:t>,</w:t>
            </w:r>
            <w:r>
              <w:rPr>
                <w:rFonts w:ascii="Arial"/>
                <w:b/>
                <w:color w:val="030105"/>
                <w:w w:val="75"/>
                <w:sz w:val="18"/>
              </w:rPr>
              <w:t>202</w:t>
            </w:r>
          </w:p>
        </w:tc>
        <w:tc>
          <w:tcPr>
            <w:tcW w:w="641" w:type="dxa"/>
            <w:tcBorders>
              <w:bottom w:val="single" w:sz="8" w:space="0" w:color="000000"/>
            </w:tcBorders>
          </w:tcPr>
          <w:p>
            <w:pPr>
              <w:pStyle w:val="TableParagraph"/>
              <w:spacing w:before="52"/>
              <w:ind w:right="77"/>
              <w:jc w:val="right"/>
              <w:rPr>
                <w:rFonts w:ascii="Arial"/>
                <w:b/>
                <w:sz w:val="18"/>
              </w:rPr>
            </w:pPr>
            <w:r>
              <w:rPr>
                <w:rFonts w:ascii="Arial"/>
                <w:b/>
                <w:color w:val="18161F"/>
                <w:w w:val="75"/>
                <w:sz w:val="18"/>
              </w:rPr>
              <w:t>(</w:t>
            </w:r>
            <w:r>
              <w:rPr>
                <w:rFonts w:ascii="Arial"/>
                <w:b/>
                <w:color w:val="030105"/>
                <w:w w:val="75"/>
                <w:sz w:val="18"/>
              </w:rPr>
              <w:t>21)</w:t>
            </w:r>
          </w:p>
        </w:tc>
        <w:tc>
          <w:tcPr>
            <w:tcW w:w="645" w:type="dxa"/>
          </w:tcPr>
          <w:p>
            <w:pPr>
              <w:pStyle w:val="TableParagraph"/>
              <w:rPr>
                <w:rFonts w:ascii="Times New Roman"/>
                <w:sz w:val="18"/>
              </w:rPr>
            </w:pPr>
          </w:p>
        </w:tc>
      </w:tr>
      <w:tr>
        <w:trPr>
          <w:trHeight w:val="275" w:hRule="atLeast"/>
        </w:trPr>
        <w:tc>
          <w:tcPr>
            <w:tcW w:w="3738" w:type="dxa"/>
          </w:tcPr>
          <w:p>
            <w:pPr>
              <w:pStyle w:val="TableParagraph"/>
              <w:spacing w:line="196" w:lineRule="exact"/>
              <w:ind w:left="54"/>
              <w:rPr>
                <w:rFonts w:ascii="Arial"/>
                <w:b/>
                <w:sz w:val="18"/>
              </w:rPr>
            </w:pPr>
            <w:r>
              <w:rPr>
                <w:rFonts w:ascii="Arial"/>
                <w:b/>
                <w:color w:val="030105"/>
                <w:w w:val="85"/>
                <w:sz w:val="18"/>
              </w:rPr>
              <w:t>Ope</w:t>
            </w:r>
            <w:r>
              <w:rPr>
                <w:rFonts w:ascii="Arial"/>
                <w:b/>
                <w:color w:val="18161F"/>
                <w:w w:val="85"/>
                <w:sz w:val="18"/>
              </w:rPr>
              <w:t>r</w:t>
            </w:r>
            <w:r>
              <w:rPr>
                <w:rFonts w:ascii="Arial"/>
                <w:b/>
                <w:color w:val="030105"/>
                <w:w w:val="85"/>
                <w:sz w:val="18"/>
              </w:rPr>
              <w:t>at</w:t>
            </w:r>
            <w:r>
              <w:rPr>
                <w:rFonts w:ascii="Arial"/>
                <w:b/>
                <w:color w:val="18161F"/>
                <w:w w:val="85"/>
                <w:sz w:val="18"/>
              </w:rPr>
              <w:t>i</w:t>
            </w:r>
            <w:r>
              <w:rPr>
                <w:rFonts w:ascii="Arial"/>
                <w:b/>
                <w:color w:val="030105"/>
                <w:w w:val="85"/>
                <w:sz w:val="18"/>
              </w:rPr>
              <w:t>ng Resu </w:t>
            </w:r>
            <w:r>
              <w:rPr>
                <w:rFonts w:ascii="Arial"/>
                <w:b/>
                <w:color w:val="18161F"/>
                <w:w w:val="85"/>
                <w:sz w:val="18"/>
              </w:rPr>
              <w:t>l</w:t>
            </w:r>
            <w:r>
              <w:rPr>
                <w:rFonts w:ascii="Arial"/>
                <w:b/>
                <w:color w:val="030105"/>
                <w:w w:val="85"/>
                <w:sz w:val="18"/>
              </w:rPr>
              <w:t>t for the Year</w:t>
            </w:r>
          </w:p>
        </w:tc>
        <w:tc>
          <w:tcPr>
            <w:tcW w:w="909" w:type="dxa"/>
            <w:tcBorders>
              <w:top w:val="single" w:sz="8" w:space="0" w:color="000000"/>
              <w:bottom w:val="single" w:sz="18" w:space="0" w:color="000000"/>
            </w:tcBorders>
          </w:tcPr>
          <w:p>
            <w:pPr>
              <w:pStyle w:val="TableParagraph"/>
              <w:spacing w:before="42"/>
              <w:ind w:left="266" w:right="68"/>
              <w:jc w:val="center"/>
              <w:rPr>
                <w:rFonts w:ascii="Arial"/>
                <w:sz w:val="18"/>
              </w:rPr>
            </w:pPr>
            <w:r>
              <w:rPr>
                <w:rFonts w:ascii="Arial"/>
                <w:color w:val="283141"/>
                <w:w w:val="90"/>
                <w:sz w:val="18"/>
              </w:rPr>
              <w:t>11</w:t>
            </w:r>
            <w:r>
              <w:rPr>
                <w:rFonts w:ascii="Arial"/>
                <w:color w:val="18161F"/>
                <w:w w:val="90"/>
                <w:sz w:val="18"/>
              </w:rPr>
              <w:t>1</w:t>
            </w:r>
          </w:p>
        </w:tc>
        <w:tc>
          <w:tcPr>
            <w:tcW w:w="782" w:type="dxa"/>
            <w:tcBorders>
              <w:top w:val="single" w:sz="8" w:space="0" w:color="000000"/>
              <w:bottom w:val="single" w:sz="18" w:space="0" w:color="000000"/>
            </w:tcBorders>
          </w:tcPr>
          <w:p>
            <w:pPr>
              <w:pStyle w:val="TableParagraph"/>
              <w:rPr>
                <w:rFonts w:ascii="Times New Roman"/>
                <w:sz w:val="18"/>
              </w:rPr>
            </w:pPr>
          </w:p>
        </w:tc>
        <w:tc>
          <w:tcPr>
            <w:tcW w:w="805" w:type="dxa"/>
            <w:tcBorders>
              <w:top w:val="single" w:sz="8" w:space="0" w:color="000000"/>
              <w:bottom w:val="single" w:sz="18" w:space="0" w:color="000000"/>
            </w:tcBorders>
          </w:tcPr>
          <w:p>
            <w:pPr>
              <w:pStyle w:val="TableParagraph"/>
              <w:rPr>
                <w:rFonts w:ascii="Times New Roman"/>
                <w:sz w:val="18"/>
              </w:rPr>
            </w:pPr>
          </w:p>
        </w:tc>
        <w:tc>
          <w:tcPr>
            <w:tcW w:w="641" w:type="dxa"/>
            <w:tcBorders>
              <w:top w:val="single" w:sz="8" w:space="0" w:color="000000"/>
              <w:bottom w:val="single" w:sz="18" w:space="0" w:color="000000"/>
            </w:tcBorders>
          </w:tcPr>
          <w:p>
            <w:pPr>
              <w:pStyle w:val="TableParagraph"/>
              <w:spacing w:before="42"/>
              <w:ind w:right="61"/>
              <w:jc w:val="right"/>
              <w:rPr>
                <w:rFonts w:ascii="Arial"/>
                <w:sz w:val="18"/>
              </w:rPr>
            </w:pPr>
            <w:r>
              <w:rPr>
                <w:rFonts w:ascii="Arial"/>
                <w:color w:val="18161F"/>
                <w:w w:val="85"/>
                <w:sz w:val="18"/>
              </w:rPr>
              <w:t>1</w:t>
            </w:r>
            <w:r>
              <w:rPr>
                <w:rFonts w:ascii="Arial"/>
                <w:color w:val="283141"/>
                <w:w w:val="85"/>
                <w:sz w:val="18"/>
              </w:rPr>
              <w:t>1</w:t>
            </w:r>
            <w:r>
              <w:rPr>
                <w:rFonts w:ascii="Arial"/>
                <w:color w:val="030105"/>
                <w:w w:val="85"/>
                <w:sz w:val="18"/>
              </w:rPr>
              <w:t>1</w:t>
            </w:r>
          </w:p>
        </w:tc>
        <w:tc>
          <w:tcPr>
            <w:tcW w:w="645" w:type="dxa"/>
          </w:tcPr>
          <w:p>
            <w:pPr>
              <w:pStyle w:val="TableParagraph"/>
              <w:spacing w:before="42"/>
              <w:ind w:right="36"/>
              <w:jc w:val="center"/>
              <w:rPr>
                <w:rFonts w:ascii="Arial"/>
                <w:sz w:val="18"/>
              </w:rPr>
            </w:pPr>
            <w:r>
              <w:rPr>
                <w:rFonts w:ascii="Arial"/>
                <w:color w:val="18161F"/>
                <w:w w:val="79"/>
                <w:sz w:val="18"/>
              </w:rPr>
              <w:t>4</w:t>
            </w:r>
          </w:p>
        </w:tc>
      </w:tr>
      <w:tr>
        <w:trPr>
          <w:trHeight w:val="275" w:hRule="atLeast"/>
        </w:trPr>
        <w:tc>
          <w:tcPr>
            <w:tcW w:w="3738" w:type="dxa"/>
          </w:tcPr>
          <w:p>
            <w:pPr>
              <w:pStyle w:val="TableParagraph"/>
              <w:spacing w:before="20"/>
              <w:ind w:left="54"/>
              <w:rPr>
                <w:rFonts w:ascii="Arial"/>
                <w:b/>
                <w:sz w:val="18"/>
              </w:rPr>
            </w:pPr>
            <w:r>
              <w:rPr>
                <w:rFonts w:ascii="Arial"/>
                <w:b/>
                <w:color w:val="030105"/>
                <w:w w:val="85"/>
                <w:sz w:val="18"/>
              </w:rPr>
              <w:t>OTHER COMPREHENSIVE </w:t>
            </w:r>
            <w:r>
              <w:rPr>
                <w:rFonts w:ascii="Arial"/>
                <w:b/>
                <w:color w:val="03032F"/>
                <w:w w:val="85"/>
                <w:sz w:val="18"/>
              </w:rPr>
              <w:t>I</w:t>
            </w:r>
            <w:r>
              <w:rPr>
                <w:rFonts w:ascii="Arial"/>
                <w:b/>
                <w:color w:val="030105"/>
                <w:w w:val="85"/>
                <w:sz w:val="18"/>
              </w:rPr>
              <w:t>NCOME</w:t>
            </w:r>
          </w:p>
        </w:tc>
        <w:tc>
          <w:tcPr>
            <w:tcW w:w="909" w:type="dxa"/>
            <w:tcBorders>
              <w:top w:val="single" w:sz="18" w:space="0" w:color="000000"/>
              <w:bottom w:val="single" w:sz="8" w:space="0" w:color="000000"/>
            </w:tcBorders>
          </w:tcPr>
          <w:p>
            <w:pPr>
              <w:pStyle w:val="TableParagraph"/>
              <w:rPr>
                <w:rFonts w:ascii="Times New Roman"/>
                <w:sz w:val="18"/>
              </w:rPr>
            </w:pPr>
          </w:p>
        </w:tc>
        <w:tc>
          <w:tcPr>
            <w:tcW w:w="782" w:type="dxa"/>
            <w:tcBorders>
              <w:top w:val="single" w:sz="18" w:space="0" w:color="000000"/>
              <w:bottom w:val="single" w:sz="8" w:space="0" w:color="000000"/>
            </w:tcBorders>
          </w:tcPr>
          <w:p>
            <w:pPr>
              <w:pStyle w:val="TableParagraph"/>
              <w:rPr>
                <w:rFonts w:ascii="Times New Roman"/>
                <w:sz w:val="18"/>
              </w:rPr>
            </w:pPr>
          </w:p>
        </w:tc>
        <w:tc>
          <w:tcPr>
            <w:tcW w:w="805" w:type="dxa"/>
            <w:tcBorders>
              <w:top w:val="single" w:sz="18" w:space="0" w:color="000000"/>
              <w:bottom w:val="single" w:sz="8" w:space="0" w:color="000000"/>
            </w:tcBorders>
          </w:tcPr>
          <w:p>
            <w:pPr>
              <w:pStyle w:val="TableParagraph"/>
              <w:rPr>
                <w:rFonts w:ascii="Times New Roman"/>
                <w:sz w:val="18"/>
              </w:rPr>
            </w:pPr>
          </w:p>
        </w:tc>
        <w:tc>
          <w:tcPr>
            <w:tcW w:w="641" w:type="dxa"/>
            <w:tcBorders>
              <w:top w:val="single" w:sz="18" w:space="0" w:color="000000"/>
              <w:bottom w:val="single" w:sz="8" w:space="0" w:color="000000"/>
            </w:tcBorders>
          </w:tcPr>
          <w:p>
            <w:pPr>
              <w:pStyle w:val="TableParagraph"/>
              <w:rPr>
                <w:rFonts w:ascii="Times New Roman"/>
                <w:sz w:val="18"/>
              </w:rPr>
            </w:pPr>
          </w:p>
        </w:tc>
        <w:tc>
          <w:tcPr>
            <w:tcW w:w="645" w:type="dxa"/>
          </w:tcPr>
          <w:p>
            <w:pPr>
              <w:pStyle w:val="TableParagraph"/>
              <w:rPr>
                <w:rFonts w:ascii="Times New Roman"/>
                <w:sz w:val="18"/>
              </w:rPr>
            </w:pPr>
          </w:p>
        </w:tc>
      </w:tr>
      <w:tr>
        <w:trPr>
          <w:trHeight w:val="275" w:hRule="atLeast"/>
        </w:trPr>
        <w:tc>
          <w:tcPr>
            <w:tcW w:w="3738" w:type="dxa"/>
          </w:tcPr>
          <w:p>
            <w:pPr>
              <w:pStyle w:val="TableParagraph"/>
              <w:spacing w:before="47"/>
              <w:ind w:left="53"/>
              <w:rPr>
                <w:rFonts w:ascii="Arial"/>
                <w:b/>
                <w:sz w:val="18"/>
              </w:rPr>
            </w:pPr>
            <w:r>
              <w:rPr>
                <w:rFonts w:ascii="Arial"/>
                <w:b/>
                <w:color w:val="030105"/>
                <w:w w:val="85"/>
                <w:sz w:val="18"/>
              </w:rPr>
              <w:t>TOTAL COMPREHENSIVE INCOME</w:t>
            </w:r>
          </w:p>
        </w:tc>
        <w:tc>
          <w:tcPr>
            <w:tcW w:w="909" w:type="dxa"/>
            <w:tcBorders>
              <w:top w:val="single" w:sz="8" w:space="0" w:color="000000"/>
              <w:bottom w:val="single" w:sz="18" w:space="0" w:color="000000"/>
            </w:tcBorders>
          </w:tcPr>
          <w:p>
            <w:pPr>
              <w:pStyle w:val="TableParagraph"/>
              <w:spacing w:before="47"/>
              <w:ind w:left="266" w:right="68"/>
              <w:jc w:val="center"/>
              <w:rPr>
                <w:rFonts w:ascii="Arial"/>
                <w:sz w:val="18"/>
              </w:rPr>
            </w:pPr>
            <w:r>
              <w:rPr>
                <w:rFonts w:ascii="Arial"/>
                <w:color w:val="283141"/>
                <w:w w:val="90"/>
                <w:sz w:val="18"/>
              </w:rPr>
              <w:t>11</w:t>
            </w:r>
            <w:r>
              <w:rPr>
                <w:rFonts w:ascii="Arial"/>
                <w:color w:val="18161F"/>
                <w:w w:val="90"/>
                <w:sz w:val="18"/>
              </w:rPr>
              <w:t>1</w:t>
            </w:r>
          </w:p>
        </w:tc>
        <w:tc>
          <w:tcPr>
            <w:tcW w:w="782" w:type="dxa"/>
            <w:tcBorders>
              <w:top w:val="single" w:sz="8" w:space="0" w:color="000000"/>
              <w:bottom w:val="single" w:sz="18" w:space="0" w:color="000000"/>
            </w:tcBorders>
          </w:tcPr>
          <w:p>
            <w:pPr>
              <w:pStyle w:val="TableParagraph"/>
              <w:rPr>
                <w:rFonts w:ascii="Times New Roman"/>
                <w:sz w:val="18"/>
              </w:rPr>
            </w:pPr>
          </w:p>
        </w:tc>
        <w:tc>
          <w:tcPr>
            <w:tcW w:w="805" w:type="dxa"/>
            <w:tcBorders>
              <w:top w:val="single" w:sz="8" w:space="0" w:color="000000"/>
              <w:bottom w:val="single" w:sz="18" w:space="0" w:color="000000"/>
            </w:tcBorders>
          </w:tcPr>
          <w:p>
            <w:pPr>
              <w:pStyle w:val="TableParagraph"/>
              <w:rPr>
                <w:rFonts w:ascii="Times New Roman"/>
                <w:sz w:val="18"/>
              </w:rPr>
            </w:pPr>
          </w:p>
        </w:tc>
        <w:tc>
          <w:tcPr>
            <w:tcW w:w="641" w:type="dxa"/>
            <w:tcBorders>
              <w:top w:val="single" w:sz="8" w:space="0" w:color="000000"/>
              <w:bottom w:val="single" w:sz="18" w:space="0" w:color="000000"/>
            </w:tcBorders>
          </w:tcPr>
          <w:p>
            <w:pPr>
              <w:pStyle w:val="TableParagraph"/>
              <w:spacing w:before="47"/>
              <w:ind w:right="61"/>
              <w:jc w:val="right"/>
              <w:rPr>
                <w:rFonts w:ascii="Arial"/>
                <w:sz w:val="18"/>
              </w:rPr>
            </w:pPr>
            <w:r>
              <w:rPr>
                <w:rFonts w:ascii="Arial"/>
                <w:color w:val="18161F"/>
                <w:w w:val="85"/>
                <w:sz w:val="18"/>
              </w:rPr>
              <w:t>1</w:t>
            </w:r>
            <w:r>
              <w:rPr>
                <w:rFonts w:ascii="Arial"/>
                <w:color w:val="283141"/>
                <w:w w:val="85"/>
                <w:sz w:val="18"/>
              </w:rPr>
              <w:t>1</w:t>
            </w:r>
            <w:r>
              <w:rPr>
                <w:rFonts w:ascii="Arial"/>
                <w:color w:val="18161F"/>
                <w:w w:val="85"/>
                <w:sz w:val="18"/>
              </w:rPr>
              <w:t>1</w:t>
            </w:r>
          </w:p>
        </w:tc>
        <w:tc>
          <w:tcPr>
            <w:tcW w:w="645" w:type="dxa"/>
          </w:tcPr>
          <w:p>
            <w:pPr>
              <w:pStyle w:val="TableParagraph"/>
              <w:rPr>
                <w:rFonts w:ascii="Times New Roman"/>
                <w:sz w:val="18"/>
              </w:rPr>
            </w:pPr>
          </w:p>
        </w:tc>
      </w:tr>
      <w:tr>
        <w:trPr>
          <w:trHeight w:val="554" w:hRule="atLeast"/>
        </w:trPr>
        <w:tc>
          <w:tcPr>
            <w:tcW w:w="3738" w:type="dxa"/>
          </w:tcPr>
          <w:p>
            <w:pPr>
              <w:pStyle w:val="TableParagraph"/>
              <w:rPr>
                <w:rFonts w:ascii="Arial"/>
                <w:b/>
                <w:sz w:val="20"/>
              </w:rPr>
            </w:pPr>
          </w:p>
          <w:p>
            <w:pPr>
              <w:pStyle w:val="TableParagraph"/>
              <w:spacing w:line="187" w:lineRule="exact" w:before="117"/>
              <w:ind w:left="50"/>
              <w:rPr>
                <w:rFonts w:ascii="Arial"/>
                <w:i/>
                <w:sz w:val="17"/>
              </w:rPr>
            </w:pPr>
            <w:r>
              <w:rPr>
                <w:rFonts w:ascii="Arial"/>
                <w:i/>
                <w:color w:val="18161F"/>
                <w:w w:val="90"/>
                <w:sz w:val="17"/>
              </w:rPr>
              <w:t>The</w:t>
            </w:r>
            <w:r>
              <w:rPr>
                <w:rFonts w:ascii="Arial"/>
                <w:i/>
                <w:color w:val="18161F"/>
                <w:spacing w:val="-19"/>
                <w:w w:val="90"/>
                <w:sz w:val="17"/>
              </w:rPr>
              <w:t> </w:t>
            </w:r>
            <w:r>
              <w:rPr>
                <w:rFonts w:ascii="Arial"/>
                <w:i/>
                <w:color w:val="030105"/>
                <w:w w:val="90"/>
                <w:sz w:val="17"/>
              </w:rPr>
              <w:t>a</w:t>
            </w:r>
            <w:r>
              <w:rPr>
                <w:rFonts w:ascii="Arial"/>
                <w:i/>
                <w:color w:val="18161F"/>
                <w:w w:val="90"/>
                <w:sz w:val="17"/>
              </w:rPr>
              <w:t>ccompanying</w:t>
            </w:r>
            <w:r>
              <w:rPr>
                <w:rFonts w:ascii="Arial"/>
                <w:i/>
                <w:color w:val="18161F"/>
                <w:spacing w:val="-31"/>
                <w:w w:val="90"/>
                <w:sz w:val="17"/>
              </w:rPr>
              <w:t> </w:t>
            </w:r>
            <w:r>
              <w:rPr>
                <w:rFonts w:ascii="Arial"/>
                <w:i/>
                <w:color w:val="18161F"/>
                <w:w w:val="90"/>
                <w:sz w:val="17"/>
              </w:rPr>
              <w:t>notes</w:t>
            </w:r>
            <w:r>
              <w:rPr>
                <w:rFonts w:ascii="Arial"/>
                <w:i/>
                <w:color w:val="18161F"/>
                <w:spacing w:val="-18"/>
                <w:w w:val="90"/>
                <w:sz w:val="17"/>
              </w:rPr>
              <w:t> </w:t>
            </w:r>
            <w:r>
              <w:rPr>
                <w:rFonts w:ascii="Arial"/>
                <w:i/>
                <w:color w:val="18161F"/>
                <w:w w:val="90"/>
                <w:sz w:val="17"/>
              </w:rPr>
              <w:t>form</w:t>
            </w:r>
            <w:r>
              <w:rPr>
                <w:rFonts w:ascii="Arial"/>
                <w:i/>
                <w:color w:val="18161F"/>
                <w:spacing w:val="-20"/>
                <w:w w:val="90"/>
                <w:sz w:val="17"/>
              </w:rPr>
              <w:t> </w:t>
            </w:r>
            <w:r>
              <w:rPr>
                <w:rFonts w:ascii="Arial"/>
                <w:i/>
                <w:color w:val="18161F"/>
                <w:w w:val="90"/>
                <w:sz w:val="17"/>
              </w:rPr>
              <w:t>part</w:t>
            </w:r>
            <w:r>
              <w:rPr>
                <w:rFonts w:ascii="Arial"/>
                <w:i/>
                <w:color w:val="18161F"/>
                <w:spacing w:val="-25"/>
                <w:w w:val="90"/>
                <w:sz w:val="17"/>
              </w:rPr>
              <w:t> </w:t>
            </w:r>
            <w:r>
              <w:rPr>
                <w:rFonts w:ascii="Arial"/>
                <w:i/>
                <w:color w:val="18161F"/>
                <w:w w:val="90"/>
                <w:sz w:val="17"/>
              </w:rPr>
              <w:t>of</w:t>
            </w:r>
            <w:r>
              <w:rPr>
                <w:rFonts w:ascii="Arial"/>
                <w:i/>
                <w:color w:val="18161F"/>
                <w:spacing w:val="-16"/>
                <w:w w:val="90"/>
                <w:sz w:val="17"/>
              </w:rPr>
              <w:t> </w:t>
            </w:r>
            <w:r>
              <w:rPr>
                <w:rFonts w:ascii="Arial"/>
                <w:color w:val="18161F"/>
                <w:w w:val="90"/>
                <w:sz w:val="18"/>
              </w:rPr>
              <w:t>these</w:t>
            </w:r>
            <w:r>
              <w:rPr>
                <w:rFonts w:ascii="Arial"/>
                <w:color w:val="18161F"/>
                <w:spacing w:val="-22"/>
                <w:w w:val="90"/>
                <w:sz w:val="18"/>
              </w:rPr>
              <w:t> </w:t>
            </w:r>
            <w:r>
              <w:rPr>
                <w:rFonts w:ascii="Arial"/>
                <w:i/>
                <w:color w:val="18161F"/>
                <w:spacing w:val="-7"/>
                <w:w w:val="90"/>
                <w:sz w:val="17"/>
              </w:rPr>
              <w:t>statemenst</w:t>
            </w:r>
            <w:r>
              <w:rPr>
                <w:rFonts w:ascii="Arial"/>
                <w:i/>
                <w:color w:val="504D4D"/>
                <w:spacing w:val="-7"/>
                <w:w w:val="90"/>
                <w:sz w:val="17"/>
              </w:rPr>
              <w:t>.</w:t>
            </w:r>
          </w:p>
        </w:tc>
        <w:tc>
          <w:tcPr>
            <w:tcW w:w="909" w:type="dxa"/>
            <w:tcBorders>
              <w:top w:val="single" w:sz="18" w:space="0" w:color="000000"/>
            </w:tcBorders>
          </w:tcPr>
          <w:p>
            <w:pPr>
              <w:pStyle w:val="TableParagraph"/>
              <w:rPr>
                <w:rFonts w:ascii="Times New Roman"/>
                <w:sz w:val="18"/>
              </w:rPr>
            </w:pPr>
          </w:p>
        </w:tc>
        <w:tc>
          <w:tcPr>
            <w:tcW w:w="782" w:type="dxa"/>
            <w:tcBorders>
              <w:top w:val="single" w:sz="18" w:space="0" w:color="000000"/>
            </w:tcBorders>
          </w:tcPr>
          <w:p>
            <w:pPr>
              <w:pStyle w:val="TableParagraph"/>
              <w:rPr>
                <w:rFonts w:ascii="Times New Roman"/>
                <w:sz w:val="18"/>
              </w:rPr>
            </w:pPr>
          </w:p>
        </w:tc>
        <w:tc>
          <w:tcPr>
            <w:tcW w:w="805" w:type="dxa"/>
            <w:tcBorders>
              <w:top w:val="single" w:sz="18" w:space="0" w:color="000000"/>
            </w:tcBorders>
          </w:tcPr>
          <w:p>
            <w:pPr>
              <w:pStyle w:val="TableParagraph"/>
              <w:rPr>
                <w:rFonts w:ascii="Times New Roman"/>
                <w:sz w:val="18"/>
              </w:rPr>
            </w:pPr>
          </w:p>
        </w:tc>
        <w:tc>
          <w:tcPr>
            <w:tcW w:w="641" w:type="dxa"/>
            <w:tcBorders>
              <w:top w:val="single" w:sz="18" w:space="0" w:color="000000"/>
            </w:tcBorders>
          </w:tcPr>
          <w:p>
            <w:pPr>
              <w:pStyle w:val="TableParagraph"/>
              <w:rPr>
                <w:rFonts w:ascii="Times New Roman"/>
                <w:sz w:val="18"/>
              </w:rPr>
            </w:pPr>
          </w:p>
        </w:tc>
        <w:tc>
          <w:tcPr>
            <w:tcW w:w="645" w:type="dxa"/>
          </w:tcPr>
          <w:p>
            <w:pPr>
              <w:pStyle w:val="TableParagraph"/>
              <w:rPr>
                <w:rFonts w:ascii="Times New Roman"/>
                <w:sz w:val="18"/>
              </w:rPr>
            </w:pPr>
          </w:p>
        </w:tc>
      </w:tr>
    </w:tbl>
    <w:p>
      <w:pPr>
        <w:pStyle w:val="BodyText"/>
        <w:spacing w:before="7"/>
        <w:rPr>
          <w:rFonts w:ascii="Arial"/>
          <w:b/>
          <w:sz w:val="25"/>
        </w:rPr>
      </w:pPr>
    </w:p>
    <w:p>
      <w:pPr>
        <w:spacing w:before="95"/>
        <w:ind w:left="257" w:right="0" w:firstLine="0"/>
        <w:jc w:val="left"/>
        <w:rPr>
          <w:rFonts w:ascii="Arial"/>
          <w:b/>
          <w:sz w:val="18"/>
        </w:rPr>
      </w:pPr>
      <w:r>
        <w:rPr>
          <w:rFonts w:ascii="Arial"/>
          <w:b/>
          <w:color w:val="030105"/>
          <w:w w:val="95"/>
          <w:sz w:val="18"/>
        </w:rPr>
        <w:t>Explanation of major budget var</w:t>
      </w:r>
      <w:r>
        <w:rPr>
          <w:rFonts w:ascii="Arial"/>
          <w:b/>
          <w:color w:val="18161F"/>
          <w:w w:val="95"/>
          <w:sz w:val="18"/>
        </w:rPr>
        <w:t>i</w:t>
      </w:r>
      <w:r>
        <w:rPr>
          <w:rFonts w:ascii="Arial"/>
          <w:b/>
          <w:color w:val="030105"/>
          <w:w w:val="95"/>
          <w:sz w:val="18"/>
        </w:rPr>
        <w:t>ances</w:t>
      </w:r>
    </w:p>
    <w:p>
      <w:pPr>
        <w:pStyle w:val="ListParagraph"/>
        <w:numPr>
          <w:ilvl w:val="0"/>
          <w:numId w:val="7"/>
        </w:numPr>
        <w:tabs>
          <w:tab w:pos="420" w:val="left" w:leader="none"/>
        </w:tabs>
        <w:spacing w:line="240" w:lineRule="auto" w:before="57" w:after="0"/>
        <w:ind w:left="419" w:right="0" w:hanging="165"/>
        <w:jc w:val="left"/>
        <w:rPr>
          <w:rFonts w:ascii="Arial"/>
          <w:color w:val="283141"/>
          <w:sz w:val="18"/>
        </w:rPr>
      </w:pPr>
      <w:r>
        <w:rPr>
          <w:rFonts w:ascii="Arial"/>
          <w:color w:val="18161F"/>
          <w:w w:val="90"/>
          <w:sz w:val="18"/>
        </w:rPr>
        <w:t>An</w:t>
      </w:r>
      <w:r>
        <w:rPr>
          <w:rFonts w:ascii="Arial"/>
          <w:color w:val="18161F"/>
          <w:spacing w:val="-13"/>
          <w:w w:val="90"/>
          <w:sz w:val="18"/>
        </w:rPr>
        <w:t> </w:t>
      </w:r>
      <w:r>
        <w:rPr>
          <w:rFonts w:ascii="Arial"/>
          <w:color w:val="18161F"/>
          <w:w w:val="90"/>
          <w:sz w:val="18"/>
        </w:rPr>
        <w:t>inc</w:t>
      </w:r>
      <w:r>
        <w:rPr>
          <w:rFonts w:ascii="Arial"/>
          <w:color w:val="030105"/>
          <w:w w:val="90"/>
          <w:sz w:val="18"/>
        </w:rPr>
        <w:t>r</w:t>
      </w:r>
      <w:r>
        <w:rPr>
          <w:rFonts w:ascii="Arial"/>
          <w:color w:val="18161F"/>
          <w:w w:val="90"/>
          <w:sz w:val="18"/>
        </w:rPr>
        <w:t>ease</w:t>
      </w:r>
      <w:r>
        <w:rPr>
          <w:rFonts w:ascii="Arial"/>
          <w:color w:val="18161F"/>
          <w:spacing w:val="-2"/>
          <w:w w:val="90"/>
          <w:sz w:val="18"/>
        </w:rPr>
        <w:t> </w:t>
      </w:r>
      <w:r>
        <w:rPr>
          <w:rFonts w:ascii="Arial"/>
          <w:color w:val="3F363B"/>
          <w:w w:val="90"/>
          <w:sz w:val="18"/>
        </w:rPr>
        <w:t>i</w:t>
      </w:r>
      <w:r>
        <w:rPr>
          <w:rFonts w:ascii="Arial"/>
          <w:color w:val="18161F"/>
          <w:w w:val="90"/>
          <w:sz w:val="18"/>
        </w:rPr>
        <w:t>n</w:t>
      </w:r>
      <w:r>
        <w:rPr>
          <w:rFonts w:ascii="Arial"/>
          <w:color w:val="18161F"/>
          <w:spacing w:val="-13"/>
          <w:w w:val="90"/>
          <w:sz w:val="18"/>
        </w:rPr>
        <w:t> </w:t>
      </w:r>
      <w:r>
        <w:rPr>
          <w:rFonts w:ascii="Arial"/>
          <w:color w:val="18161F"/>
          <w:w w:val="90"/>
          <w:sz w:val="18"/>
        </w:rPr>
        <w:t>Approp</w:t>
      </w:r>
      <w:r>
        <w:rPr>
          <w:rFonts w:ascii="Arial"/>
          <w:color w:val="18161F"/>
          <w:spacing w:val="-28"/>
          <w:w w:val="90"/>
          <w:sz w:val="18"/>
        </w:rPr>
        <w:t> </w:t>
      </w:r>
      <w:r>
        <w:rPr>
          <w:rFonts w:ascii="Arial"/>
          <w:color w:val="030105"/>
          <w:w w:val="90"/>
          <w:sz w:val="18"/>
        </w:rPr>
        <w:t>r</w:t>
      </w:r>
      <w:r>
        <w:rPr>
          <w:rFonts w:ascii="Arial"/>
          <w:color w:val="18161F"/>
          <w:w w:val="90"/>
          <w:sz w:val="18"/>
        </w:rPr>
        <w:t>iat</w:t>
      </w:r>
      <w:r>
        <w:rPr>
          <w:rFonts w:ascii="Arial"/>
          <w:color w:val="504D4D"/>
          <w:w w:val="90"/>
          <w:sz w:val="18"/>
        </w:rPr>
        <w:t>i</w:t>
      </w:r>
      <w:r>
        <w:rPr>
          <w:rFonts w:ascii="Arial"/>
          <w:color w:val="18161F"/>
          <w:w w:val="90"/>
          <w:sz w:val="18"/>
        </w:rPr>
        <w:t>on</w:t>
      </w:r>
      <w:r>
        <w:rPr>
          <w:rFonts w:ascii="Arial"/>
          <w:color w:val="18161F"/>
          <w:spacing w:val="-18"/>
          <w:w w:val="90"/>
          <w:sz w:val="18"/>
        </w:rPr>
        <w:t> </w:t>
      </w:r>
      <w:r>
        <w:rPr>
          <w:rFonts w:ascii="Arial"/>
          <w:color w:val="18161F"/>
          <w:w w:val="90"/>
          <w:sz w:val="18"/>
        </w:rPr>
        <w:t>revenue p</w:t>
      </w:r>
      <w:r>
        <w:rPr>
          <w:rFonts w:ascii="Arial"/>
          <w:color w:val="3F363B"/>
          <w:w w:val="90"/>
          <w:sz w:val="18"/>
        </w:rPr>
        <w:t>r</w:t>
      </w:r>
      <w:r>
        <w:rPr>
          <w:rFonts w:ascii="Arial"/>
          <w:color w:val="030105"/>
          <w:w w:val="90"/>
          <w:sz w:val="18"/>
        </w:rPr>
        <w:t>i</w:t>
      </w:r>
      <w:r>
        <w:rPr>
          <w:rFonts w:ascii="Arial"/>
          <w:color w:val="18161F"/>
          <w:w w:val="90"/>
          <w:sz w:val="18"/>
        </w:rPr>
        <w:t>mari</w:t>
      </w:r>
      <w:r>
        <w:rPr>
          <w:rFonts w:ascii="Arial"/>
          <w:color w:val="3F363B"/>
          <w:w w:val="90"/>
          <w:sz w:val="18"/>
        </w:rPr>
        <w:t>l</w:t>
      </w:r>
      <w:r>
        <w:rPr>
          <w:rFonts w:ascii="Arial"/>
          <w:color w:val="18161F"/>
          <w:w w:val="90"/>
          <w:sz w:val="18"/>
        </w:rPr>
        <w:t>y</w:t>
      </w:r>
      <w:r>
        <w:rPr>
          <w:rFonts w:ascii="Arial"/>
          <w:color w:val="18161F"/>
          <w:spacing w:val="-10"/>
          <w:w w:val="90"/>
          <w:sz w:val="18"/>
        </w:rPr>
        <w:t> </w:t>
      </w:r>
      <w:r>
        <w:rPr>
          <w:rFonts w:ascii="Arial"/>
          <w:color w:val="18161F"/>
          <w:w w:val="90"/>
          <w:sz w:val="18"/>
        </w:rPr>
        <w:t>due</w:t>
      </w:r>
      <w:r>
        <w:rPr>
          <w:rFonts w:ascii="Arial"/>
          <w:color w:val="18161F"/>
          <w:spacing w:val="-5"/>
          <w:w w:val="90"/>
          <w:sz w:val="18"/>
        </w:rPr>
        <w:t> </w:t>
      </w:r>
      <w:r>
        <w:rPr>
          <w:rFonts w:ascii="Arial"/>
          <w:color w:val="030105"/>
          <w:spacing w:val="-3"/>
          <w:w w:val="90"/>
          <w:sz w:val="18"/>
        </w:rPr>
        <w:t>t</w:t>
      </w:r>
      <w:r>
        <w:rPr>
          <w:rFonts w:ascii="Arial"/>
          <w:color w:val="18161F"/>
          <w:spacing w:val="-3"/>
          <w:w w:val="90"/>
          <w:sz w:val="18"/>
        </w:rPr>
        <w:t>o</w:t>
      </w:r>
      <w:r>
        <w:rPr>
          <w:rFonts w:ascii="Arial"/>
          <w:color w:val="18161F"/>
          <w:spacing w:val="-11"/>
          <w:w w:val="90"/>
          <w:sz w:val="18"/>
        </w:rPr>
        <w:t> </w:t>
      </w:r>
      <w:r>
        <w:rPr>
          <w:rFonts w:ascii="Arial"/>
          <w:color w:val="18161F"/>
          <w:w w:val="90"/>
          <w:sz w:val="18"/>
        </w:rPr>
        <w:t>mee</w:t>
      </w:r>
      <w:r>
        <w:rPr>
          <w:rFonts w:ascii="Arial"/>
          <w:color w:val="030105"/>
          <w:w w:val="90"/>
          <w:sz w:val="18"/>
        </w:rPr>
        <w:t>t</w:t>
      </w:r>
      <w:r>
        <w:rPr>
          <w:rFonts w:ascii="Arial"/>
          <w:color w:val="030105"/>
          <w:spacing w:val="-11"/>
          <w:w w:val="90"/>
          <w:sz w:val="18"/>
        </w:rPr>
        <w:t> </w:t>
      </w:r>
      <w:r>
        <w:rPr>
          <w:rFonts w:ascii="Arial"/>
          <w:color w:val="030105"/>
          <w:w w:val="90"/>
          <w:sz w:val="18"/>
        </w:rPr>
        <w:t>a</w:t>
      </w:r>
      <w:r>
        <w:rPr>
          <w:rFonts w:ascii="Arial"/>
          <w:color w:val="18161F"/>
          <w:w w:val="90"/>
          <w:sz w:val="18"/>
        </w:rPr>
        <w:t>ddit</w:t>
      </w:r>
      <w:r>
        <w:rPr>
          <w:rFonts w:ascii="Arial"/>
          <w:color w:val="504D4D"/>
          <w:w w:val="90"/>
          <w:sz w:val="18"/>
        </w:rPr>
        <w:t>i</w:t>
      </w:r>
      <w:r>
        <w:rPr>
          <w:rFonts w:ascii="Arial"/>
          <w:color w:val="18161F"/>
          <w:w w:val="90"/>
          <w:sz w:val="18"/>
        </w:rPr>
        <w:t>ona</w:t>
      </w:r>
      <w:r>
        <w:rPr>
          <w:rFonts w:ascii="Arial"/>
          <w:color w:val="3F363B"/>
          <w:w w:val="90"/>
          <w:sz w:val="18"/>
        </w:rPr>
        <w:t>l</w:t>
      </w:r>
      <w:r>
        <w:rPr>
          <w:rFonts w:ascii="Arial"/>
          <w:color w:val="3F363B"/>
          <w:spacing w:val="-14"/>
          <w:w w:val="90"/>
          <w:sz w:val="18"/>
        </w:rPr>
        <w:t> </w:t>
      </w:r>
      <w:r>
        <w:rPr>
          <w:rFonts w:ascii="Arial"/>
          <w:color w:val="18161F"/>
          <w:spacing w:val="-3"/>
          <w:w w:val="90"/>
          <w:sz w:val="18"/>
        </w:rPr>
        <w:t>tempo</w:t>
      </w:r>
      <w:r>
        <w:rPr>
          <w:rFonts w:ascii="Arial"/>
          <w:color w:val="030105"/>
          <w:spacing w:val="-3"/>
          <w:w w:val="90"/>
          <w:sz w:val="18"/>
        </w:rPr>
        <w:t>r</w:t>
      </w:r>
      <w:r>
        <w:rPr>
          <w:rFonts w:ascii="Arial"/>
          <w:color w:val="18161F"/>
          <w:spacing w:val="-3"/>
          <w:w w:val="90"/>
          <w:sz w:val="18"/>
        </w:rPr>
        <w:t>a</w:t>
      </w:r>
      <w:r>
        <w:rPr>
          <w:rFonts w:ascii="Arial"/>
          <w:color w:val="3F363B"/>
          <w:spacing w:val="-3"/>
          <w:w w:val="90"/>
          <w:sz w:val="18"/>
        </w:rPr>
        <w:t>r</w:t>
      </w:r>
      <w:r>
        <w:rPr>
          <w:rFonts w:ascii="Arial"/>
          <w:color w:val="18161F"/>
          <w:spacing w:val="-3"/>
          <w:w w:val="90"/>
          <w:sz w:val="18"/>
        </w:rPr>
        <w:t>y</w:t>
      </w:r>
      <w:r>
        <w:rPr>
          <w:rFonts w:ascii="Arial"/>
          <w:color w:val="18161F"/>
          <w:spacing w:val="-16"/>
          <w:w w:val="90"/>
          <w:sz w:val="18"/>
        </w:rPr>
        <w:t> </w:t>
      </w:r>
      <w:r>
        <w:rPr>
          <w:rFonts w:ascii="Arial"/>
          <w:color w:val="18161F"/>
          <w:w w:val="90"/>
          <w:sz w:val="18"/>
        </w:rPr>
        <w:t>r</w:t>
      </w:r>
      <w:r>
        <w:rPr>
          <w:rFonts w:ascii="Arial"/>
          <w:color w:val="030105"/>
          <w:w w:val="90"/>
          <w:sz w:val="18"/>
        </w:rPr>
        <w:t>e</w:t>
      </w:r>
      <w:r>
        <w:rPr>
          <w:rFonts w:ascii="Arial"/>
          <w:color w:val="18161F"/>
          <w:w w:val="90"/>
          <w:sz w:val="18"/>
        </w:rPr>
        <w:t>sou</w:t>
      </w:r>
      <w:r>
        <w:rPr>
          <w:rFonts w:ascii="Arial"/>
          <w:color w:val="3F363B"/>
          <w:w w:val="90"/>
          <w:sz w:val="18"/>
        </w:rPr>
        <w:t>r</w:t>
      </w:r>
      <w:r>
        <w:rPr>
          <w:rFonts w:ascii="Arial"/>
          <w:color w:val="18161F"/>
          <w:w w:val="90"/>
          <w:sz w:val="18"/>
        </w:rPr>
        <w:t>ci</w:t>
      </w:r>
      <w:r>
        <w:rPr>
          <w:rFonts w:ascii="Arial"/>
          <w:color w:val="030105"/>
          <w:w w:val="90"/>
          <w:sz w:val="18"/>
        </w:rPr>
        <w:t>n</w:t>
      </w:r>
      <w:r>
        <w:rPr>
          <w:rFonts w:ascii="Arial"/>
          <w:color w:val="18161F"/>
          <w:w w:val="90"/>
          <w:sz w:val="18"/>
        </w:rPr>
        <w:t>g</w:t>
      </w:r>
      <w:r>
        <w:rPr>
          <w:rFonts w:ascii="Arial"/>
          <w:color w:val="18161F"/>
          <w:spacing w:val="-16"/>
          <w:w w:val="90"/>
          <w:sz w:val="18"/>
        </w:rPr>
        <w:t> </w:t>
      </w:r>
      <w:r>
        <w:rPr>
          <w:rFonts w:ascii="Arial"/>
          <w:color w:val="3F363B"/>
          <w:w w:val="90"/>
          <w:sz w:val="18"/>
        </w:rPr>
        <w:t>r</w:t>
      </w:r>
      <w:r>
        <w:rPr>
          <w:rFonts w:ascii="Arial"/>
          <w:color w:val="18161F"/>
          <w:w w:val="90"/>
          <w:sz w:val="18"/>
        </w:rPr>
        <w:t>eq</w:t>
      </w:r>
      <w:r>
        <w:rPr>
          <w:rFonts w:ascii="Arial"/>
          <w:color w:val="030105"/>
          <w:w w:val="90"/>
          <w:sz w:val="18"/>
        </w:rPr>
        <w:t>uir</w:t>
      </w:r>
      <w:r>
        <w:rPr>
          <w:rFonts w:ascii="Arial"/>
          <w:color w:val="18161F"/>
          <w:w w:val="90"/>
          <w:sz w:val="18"/>
        </w:rPr>
        <w:t>emen</w:t>
      </w:r>
      <w:r>
        <w:rPr>
          <w:rFonts w:ascii="Arial"/>
          <w:color w:val="030105"/>
          <w:w w:val="90"/>
          <w:sz w:val="18"/>
        </w:rPr>
        <w:t>t</w:t>
      </w:r>
      <w:r>
        <w:rPr>
          <w:rFonts w:ascii="Arial"/>
          <w:color w:val="18161F"/>
          <w:w w:val="90"/>
          <w:sz w:val="18"/>
        </w:rPr>
        <w:t>s</w:t>
      </w:r>
      <w:r>
        <w:rPr>
          <w:rFonts w:ascii="Arial"/>
          <w:color w:val="504D4D"/>
          <w:w w:val="90"/>
          <w:sz w:val="18"/>
        </w:rPr>
        <w:t>.</w:t>
      </w:r>
    </w:p>
    <w:p>
      <w:pPr>
        <w:pStyle w:val="ListParagraph"/>
        <w:numPr>
          <w:ilvl w:val="0"/>
          <w:numId w:val="7"/>
        </w:numPr>
        <w:tabs>
          <w:tab w:pos="415" w:val="left" w:leader="none"/>
        </w:tabs>
        <w:spacing w:line="240" w:lineRule="auto" w:before="91" w:after="0"/>
        <w:ind w:left="415" w:right="0" w:hanging="160"/>
        <w:jc w:val="left"/>
        <w:rPr>
          <w:rFonts w:ascii="Arial"/>
          <w:color w:val="18161F"/>
          <w:sz w:val="18"/>
        </w:rPr>
      </w:pPr>
      <w:r>
        <w:rPr>
          <w:rFonts w:ascii="Arial"/>
          <w:color w:val="18161F"/>
          <w:w w:val="90"/>
          <w:sz w:val="18"/>
        </w:rPr>
        <w:t>A</w:t>
      </w:r>
      <w:r>
        <w:rPr>
          <w:rFonts w:ascii="Arial"/>
          <w:color w:val="18161F"/>
          <w:spacing w:val="-14"/>
          <w:w w:val="90"/>
          <w:sz w:val="18"/>
        </w:rPr>
        <w:t> </w:t>
      </w:r>
      <w:r>
        <w:rPr>
          <w:rFonts w:ascii="Arial"/>
          <w:color w:val="18161F"/>
          <w:w w:val="90"/>
          <w:sz w:val="18"/>
        </w:rPr>
        <w:t>d</w:t>
      </w:r>
      <w:r>
        <w:rPr>
          <w:rFonts w:ascii="Arial"/>
          <w:color w:val="030105"/>
          <w:w w:val="90"/>
          <w:sz w:val="18"/>
        </w:rPr>
        <w:t>e</w:t>
      </w:r>
      <w:r>
        <w:rPr>
          <w:rFonts w:ascii="Arial"/>
          <w:color w:val="18161F"/>
          <w:w w:val="90"/>
          <w:sz w:val="18"/>
        </w:rPr>
        <w:t>crease</w:t>
      </w:r>
      <w:r>
        <w:rPr>
          <w:rFonts w:ascii="Arial"/>
          <w:color w:val="18161F"/>
          <w:spacing w:val="1"/>
          <w:w w:val="90"/>
          <w:sz w:val="18"/>
        </w:rPr>
        <w:t> </w:t>
      </w:r>
      <w:r>
        <w:rPr>
          <w:rFonts w:ascii="Arial"/>
          <w:color w:val="18161F"/>
          <w:w w:val="90"/>
          <w:sz w:val="18"/>
        </w:rPr>
        <w:t>in</w:t>
      </w:r>
      <w:r>
        <w:rPr>
          <w:rFonts w:ascii="Arial"/>
          <w:color w:val="18161F"/>
          <w:spacing w:val="-11"/>
          <w:w w:val="90"/>
          <w:sz w:val="18"/>
        </w:rPr>
        <w:t> </w:t>
      </w:r>
      <w:r>
        <w:rPr>
          <w:rFonts w:ascii="Arial"/>
          <w:color w:val="030105"/>
          <w:w w:val="90"/>
          <w:sz w:val="18"/>
        </w:rPr>
        <w:t>E</w:t>
      </w:r>
      <w:r>
        <w:rPr>
          <w:rFonts w:ascii="Arial"/>
          <w:color w:val="18161F"/>
          <w:w w:val="90"/>
          <w:sz w:val="18"/>
        </w:rPr>
        <w:t>mployee</w:t>
      </w:r>
      <w:r>
        <w:rPr>
          <w:rFonts w:ascii="Arial"/>
          <w:color w:val="18161F"/>
          <w:spacing w:val="-8"/>
          <w:w w:val="90"/>
          <w:sz w:val="18"/>
        </w:rPr>
        <w:t> </w:t>
      </w:r>
      <w:r>
        <w:rPr>
          <w:rFonts w:ascii="Arial"/>
          <w:color w:val="18161F"/>
          <w:w w:val="90"/>
          <w:sz w:val="18"/>
        </w:rPr>
        <w:t>expenses</w:t>
      </w:r>
      <w:r>
        <w:rPr>
          <w:rFonts w:ascii="Arial"/>
          <w:color w:val="18161F"/>
          <w:spacing w:val="-5"/>
          <w:w w:val="90"/>
          <w:sz w:val="18"/>
        </w:rPr>
        <w:t> </w:t>
      </w:r>
      <w:r>
        <w:rPr>
          <w:rFonts w:ascii="Arial"/>
          <w:color w:val="18161F"/>
          <w:w w:val="90"/>
          <w:sz w:val="18"/>
        </w:rPr>
        <w:t>pr</w:t>
      </w:r>
      <w:r>
        <w:rPr>
          <w:rFonts w:ascii="Arial"/>
          <w:color w:val="504D4D"/>
          <w:w w:val="90"/>
          <w:sz w:val="18"/>
        </w:rPr>
        <w:t>i</w:t>
      </w:r>
      <w:r>
        <w:rPr>
          <w:rFonts w:ascii="Arial"/>
          <w:color w:val="18161F"/>
          <w:w w:val="90"/>
          <w:sz w:val="18"/>
        </w:rPr>
        <w:t>ma</w:t>
      </w:r>
      <w:r>
        <w:rPr>
          <w:rFonts w:ascii="Arial"/>
          <w:color w:val="030105"/>
          <w:w w:val="90"/>
          <w:sz w:val="18"/>
        </w:rPr>
        <w:t>r</w:t>
      </w:r>
      <w:r>
        <w:rPr>
          <w:rFonts w:ascii="Arial"/>
          <w:color w:val="18161F"/>
          <w:w w:val="90"/>
          <w:sz w:val="18"/>
        </w:rPr>
        <w:t>ily</w:t>
      </w:r>
      <w:r>
        <w:rPr>
          <w:rFonts w:ascii="Arial"/>
          <w:color w:val="18161F"/>
          <w:spacing w:val="-29"/>
          <w:w w:val="90"/>
          <w:sz w:val="18"/>
        </w:rPr>
        <w:t> </w:t>
      </w:r>
      <w:r>
        <w:rPr>
          <w:rFonts w:ascii="Arial"/>
          <w:color w:val="18161F"/>
          <w:w w:val="90"/>
          <w:sz w:val="18"/>
        </w:rPr>
        <w:t>due</w:t>
      </w:r>
      <w:r>
        <w:rPr>
          <w:rFonts w:ascii="Arial"/>
          <w:color w:val="18161F"/>
          <w:spacing w:val="-2"/>
          <w:w w:val="90"/>
          <w:sz w:val="18"/>
        </w:rPr>
        <w:t> </w:t>
      </w:r>
      <w:r>
        <w:rPr>
          <w:rFonts w:ascii="Arial"/>
          <w:color w:val="18161F"/>
          <w:w w:val="90"/>
          <w:sz w:val="18"/>
        </w:rPr>
        <w:t>to</w:t>
      </w:r>
      <w:r>
        <w:rPr>
          <w:rFonts w:ascii="Arial"/>
          <w:color w:val="18161F"/>
          <w:spacing w:val="-10"/>
          <w:w w:val="90"/>
          <w:sz w:val="18"/>
        </w:rPr>
        <w:t> </w:t>
      </w:r>
      <w:r>
        <w:rPr>
          <w:rFonts w:ascii="Arial"/>
          <w:color w:val="18161F"/>
          <w:w w:val="90"/>
          <w:sz w:val="18"/>
        </w:rPr>
        <w:t>vacancies</w:t>
      </w:r>
      <w:r>
        <w:rPr>
          <w:rFonts w:ascii="Arial"/>
          <w:color w:val="18161F"/>
          <w:spacing w:val="-3"/>
          <w:w w:val="90"/>
          <w:sz w:val="18"/>
        </w:rPr>
        <w:t> </w:t>
      </w:r>
      <w:r>
        <w:rPr>
          <w:rFonts w:ascii="Arial"/>
          <w:color w:val="18161F"/>
          <w:w w:val="90"/>
          <w:sz w:val="18"/>
        </w:rPr>
        <w:t>h</w:t>
      </w:r>
      <w:r>
        <w:rPr>
          <w:rFonts w:ascii="Arial"/>
          <w:color w:val="030105"/>
          <w:w w:val="90"/>
          <w:sz w:val="18"/>
        </w:rPr>
        <w:t>e</w:t>
      </w:r>
      <w:r>
        <w:rPr>
          <w:rFonts w:ascii="Arial"/>
          <w:color w:val="18161F"/>
          <w:w w:val="90"/>
          <w:sz w:val="18"/>
        </w:rPr>
        <w:t>ld</w:t>
      </w:r>
      <w:r>
        <w:rPr>
          <w:rFonts w:ascii="Arial"/>
          <w:color w:val="18161F"/>
          <w:spacing w:val="-5"/>
          <w:w w:val="90"/>
          <w:sz w:val="18"/>
        </w:rPr>
        <w:t> </w:t>
      </w:r>
      <w:r>
        <w:rPr>
          <w:rFonts w:ascii="Arial"/>
          <w:color w:val="18161F"/>
          <w:w w:val="90"/>
          <w:sz w:val="18"/>
        </w:rPr>
        <w:t>during</w:t>
      </w:r>
      <w:r>
        <w:rPr>
          <w:rFonts w:ascii="Arial"/>
          <w:color w:val="18161F"/>
          <w:spacing w:val="-5"/>
          <w:w w:val="90"/>
          <w:sz w:val="18"/>
        </w:rPr>
        <w:t> </w:t>
      </w:r>
      <w:r>
        <w:rPr>
          <w:rFonts w:ascii="Arial"/>
          <w:color w:val="18161F"/>
          <w:spacing w:val="-4"/>
          <w:w w:val="90"/>
          <w:sz w:val="18"/>
        </w:rPr>
        <w:t>t</w:t>
      </w:r>
      <w:r>
        <w:rPr>
          <w:rFonts w:ascii="Arial"/>
          <w:color w:val="030105"/>
          <w:spacing w:val="-4"/>
          <w:w w:val="90"/>
          <w:sz w:val="18"/>
        </w:rPr>
        <w:t>h</w:t>
      </w:r>
      <w:r>
        <w:rPr>
          <w:rFonts w:ascii="Arial"/>
          <w:color w:val="18161F"/>
          <w:spacing w:val="-4"/>
          <w:w w:val="90"/>
          <w:sz w:val="18"/>
        </w:rPr>
        <w:t>e</w:t>
      </w:r>
      <w:r>
        <w:rPr>
          <w:rFonts w:ascii="Arial"/>
          <w:color w:val="18161F"/>
          <w:spacing w:val="-5"/>
          <w:w w:val="90"/>
          <w:sz w:val="18"/>
        </w:rPr>
        <w:t> </w:t>
      </w:r>
      <w:r>
        <w:rPr>
          <w:rFonts w:ascii="Arial"/>
          <w:color w:val="18161F"/>
          <w:w w:val="90"/>
          <w:sz w:val="18"/>
        </w:rPr>
        <w:t>f</w:t>
      </w:r>
      <w:r>
        <w:rPr>
          <w:rFonts w:ascii="Arial"/>
          <w:color w:val="030105"/>
          <w:w w:val="90"/>
          <w:sz w:val="18"/>
        </w:rPr>
        <w:t>i</w:t>
      </w:r>
      <w:r>
        <w:rPr>
          <w:rFonts w:ascii="Arial"/>
          <w:color w:val="18161F"/>
          <w:w w:val="90"/>
          <w:sz w:val="18"/>
        </w:rPr>
        <w:t>n</w:t>
      </w:r>
      <w:r>
        <w:rPr>
          <w:rFonts w:ascii="Arial"/>
          <w:color w:val="030105"/>
          <w:w w:val="90"/>
          <w:sz w:val="18"/>
        </w:rPr>
        <w:t>a</w:t>
      </w:r>
      <w:r>
        <w:rPr>
          <w:rFonts w:ascii="Arial"/>
          <w:color w:val="18161F"/>
          <w:w w:val="90"/>
          <w:sz w:val="18"/>
        </w:rPr>
        <w:t>ncial</w:t>
      </w:r>
      <w:r>
        <w:rPr>
          <w:rFonts w:ascii="Arial"/>
          <w:color w:val="18161F"/>
          <w:spacing w:val="-9"/>
          <w:w w:val="90"/>
          <w:sz w:val="18"/>
        </w:rPr>
        <w:t> </w:t>
      </w:r>
      <w:r>
        <w:rPr>
          <w:rFonts w:ascii="Arial"/>
          <w:color w:val="18161F"/>
          <w:w w:val="90"/>
          <w:sz w:val="18"/>
        </w:rPr>
        <w:t>year</w:t>
      </w:r>
      <w:r>
        <w:rPr>
          <w:rFonts w:ascii="Arial"/>
          <w:color w:val="504D4D"/>
          <w:w w:val="90"/>
          <w:sz w:val="18"/>
        </w:rPr>
        <w:t>.</w:t>
      </w:r>
    </w:p>
    <w:p>
      <w:pPr>
        <w:pStyle w:val="ListParagraph"/>
        <w:numPr>
          <w:ilvl w:val="0"/>
          <w:numId w:val="7"/>
        </w:numPr>
        <w:tabs>
          <w:tab w:pos="420" w:val="left" w:leader="none"/>
        </w:tabs>
        <w:spacing w:line="240" w:lineRule="auto" w:before="91" w:after="0"/>
        <w:ind w:left="419" w:right="0" w:hanging="162"/>
        <w:jc w:val="left"/>
        <w:rPr>
          <w:rFonts w:ascii="Arial"/>
          <w:color w:val="18161F"/>
          <w:sz w:val="18"/>
        </w:rPr>
      </w:pPr>
      <w:r>
        <w:rPr>
          <w:rFonts w:ascii="Arial"/>
          <w:color w:val="18161F"/>
          <w:w w:val="90"/>
          <w:sz w:val="18"/>
        </w:rPr>
        <w:t>An</w:t>
      </w:r>
      <w:r>
        <w:rPr>
          <w:rFonts w:ascii="Arial"/>
          <w:color w:val="18161F"/>
          <w:spacing w:val="-12"/>
          <w:w w:val="90"/>
          <w:sz w:val="18"/>
        </w:rPr>
        <w:t> </w:t>
      </w:r>
      <w:r>
        <w:rPr>
          <w:rFonts w:ascii="Arial"/>
          <w:color w:val="18161F"/>
          <w:w w:val="90"/>
          <w:sz w:val="18"/>
        </w:rPr>
        <w:t>increase</w:t>
      </w:r>
      <w:r>
        <w:rPr>
          <w:rFonts w:ascii="Arial"/>
          <w:color w:val="18161F"/>
          <w:spacing w:val="3"/>
          <w:w w:val="90"/>
          <w:sz w:val="18"/>
        </w:rPr>
        <w:t> </w:t>
      </w:r>
      <w:r>
        <w:rPr>
          <w:rFonts w:ascii="Arial"/>
          <w:color w:val="283141"/>
          <w:w w:val="90"/>
          <w:sz w:val="18"/>
        </w:rPr>
        <w:t>i</w:t>
      </w:r>
      <w:r>
        <w:rPr>
          <w:rFonts w:ascii="Arial"/>
          <w:color w:val="18161F"/>
          <w:w w:val="90"/>
          <w:sz w:val="18"/>
        </w:rPr>
        <w:t>n</w:t>
      </w:r>
      <w:r>
        <w:rPr>
          <w:rFonts w:ascii="Arial"/>
          <w:color w:val="18161F"/>
          <w:spacing w:val="-18"/>
          <w:w w:val="90"/>
          <w:sz w:val="18"/>
        </w:rPr>
        <w:t> </w:t>
      </w:r>
      <w:r>
        <w:rPr>
          <w:rFonts w:ascii="Arial"/>
          <w:color w:val="18161F"/>
          <w:w w:val="90"/>
          <w:sz w:val="18"/>
        </w:rPr>
        <w:t>supplies</w:t>
      </w:r>
      <w:r>
        <w:rPr>
          <w:rFonts w:ascii="Arial"/>
          <w:color w:val="18161F"/>
          <w:spacing w:val="1"/>
          <w:w w:val="90"/>
          <w:sz w:val="18"/>
        </w:rPr>
        <w:t> </w:t>
      </w:r>
      <w:r>
        <w:rPr>
          <w:rFonts w:ascii="Arial"/>
          <w:color w:val="18161F"/>
          <w:w w:val="90"/>
          <w:sz w:val="18"/>
        </w:rPr>
        <w:t>and</w:t>
      </w:r>
      <w:r>
        <w:rPr>
          <w:rFonts w:ascii="Arial"/>
          <w:color w:val="18161F"/>
          <w:spacing w:val="-5"/>
          <w:w w:val="90"/>
          <w:sz w:val="18"/>
        </w:rPr>
        <w:t> </w:t>
      </w:r>
      <w:r>
        <w:rPr>
          <w:rFonts w:ascii="Arial"/>
          <w:color w:val="18161F"/>
          <w:w w:val="90"/>
          <w:sz w:val="18"/>
        </w:rPr>
        <w:t>services</w:t>
      </w:r>
      <w:r>
        <w:rPr>
          <w:rFonts w:ascii="Arial"/>
          <w:color w:val="18161F"/>
          <w:spacing w:val="-2"/>
          <w:w w:val="90"/>
          <w:sz w:val="18"/>
        </w:rPr>
        <w:t> </w:t>
      </w:r>
      <w:r>
        <w:rPr>
          <w:rFonts w:ascii="Arial"/>
          <w:color w:val="18161F"/>
          <w:spacing w:val="-3"/>
          <w:w w:val="90"/>
          <w:sz w:val="18"/>
        </w:rPr>
        <w:t>prima</w:t>
      </w:r>
      <w:r>
        <w:rPr>
          <w:rFonts w:ascii="Arial"/>
          <w:color w:val="3F363B"/>
          <w:spacing w:val="-3"/>
          <w:w w:val="90"/>
          <w:sz w:val="18"/>
        </w:rPr>
        <w:t>r</w:t>
      </w:r>
      <w:r>
        <w:rPr>
          <w:rFonts w:ascii="Arial"/>
          <w:color w:val="18161F"/>
          <w:spacing w:val="-3"/>
          <w:w w:val="90"/>
          <w:sz w:val="18"/>
        </w:rPr>
        <w:t>i</w:t>
      </w:r>
      <w:r>
        <w:rPr>
          <w:rFonts w:ascii="Arial"/>
          <w:color w:val="3F363B"/>
          <w:spacing w:val="-3"/>
          <w:w w:val="90"/>
          <w:sz w:val="18"/>
        </w:rPr>
        <w:t>l</w:t>
      </w:r>
      <w:r>
        <w:rPr>
          <w:rFonts w:ascii="Arial"/>
          <w:color w:val="18161F"/>
          <w:spacing w:val="-3"/>
          <w:w w:val="90"/>
          <w:sz w:val="18"/>
        </w:rPr>
        <w:t>y</w:t>
      </w:r>
      <w:r>
        <w:rPr>
          <w:rFonts w:ascii="Arial"/>
          <w:color w:val="18161F"/>
          <w:spacing w:val="-9"/>
          <w:w w:val="90"/>
          <w:sz w:val="18"/>
        </w:rPr>
        <w:t> </w:t>
      </w:r>
      <w:r>
        <w:rPr>
          <w:rFonts w:ascii="Arial"/>
          <w:color w:val="18161F"/>
          <w:w w:val="90"/>
          <w:sz w:val="18"/>
        </w:rPr>
        <w:t>due</w:t>
      </w:r>
      <w:r>
        <w:rPr>
          <w:rFonts w:ascii="Arial"/>
          <w:color w:val="18161F"/>
          <w:spacing w:val="-4"/>
          <w:w w:val="90"/>
          <w:sz w:val="18"/>
        </w:rPr>
        <w:t> </w:t>
      </w:r>
      <w:r>
        <w:rPr>
          <w:rFonts w:ascii="Arial"/>
          <w:color w:val="18161F"/>
          <w:w w:val="90"/>
          <w:sz w:val="18"/>
        </w:rPr>
        <w:t>to</w:t>
      </w:r>
      <w:r>
        <w:rPr>
          <w:rFonts w:ascii="Arial"/>
          <w:color w:val="18161F"/>
          <w:spacing w:val="-13"/>
          <w:w w:val="90"/>
          <w:sz w:val="18"/>
        </w:rPr>
        <w:t> </w:t>
      </w:r>
      <w:r>
        <w:rPr>
          <w:rFonts w:ascii="Arial"/>
          <w:color w:val="18161F"/>
          <w:w w:val="90"/>
          <w:sz w:val="18"/>
        </w:rPr>
        <w:t>h</w:t>
      </w:r>
      <w:r>
        <w:rPr>
          <w:rFonts w:ascii="Arial"/>
          <w:color w:val="504D4D"/>
          <w:w w:val="90"/>
          <w:sz w:val="18"/>
        </w:rPr>
        <w:t>i</w:t>
      </w:r>
      <w:r>
        <w:rPr>
          <w:rFonts w:ascii="Arial"/>
          <w:color w:val="18161F"/>
          <w:w w:val="90"/>
          <w:sz w:val="18"/>
        </w:rPr>
        <w:t>gher</w:t>
      </w:r>
      <w:r>
        <w:rPr>
          <w:rFonts w:ascii="Arial"/>
          <w:color w:val="18161F"/>
          <w:spacing w:val="-12"/>
          <w:w w:val="90"/>
          <w:sz w:val="18"/>
        </w:rPr>
        <w:t> </w:t>
      </w:r>
      <w:r>
        <w:rPr>
          <w:rFonts w:ascii="Arial"/>
          <w:color w:val="18161F"/>
          <w:w w:val="90"/>
          <w:sz w:val="18"/>
        </w:rPr>
        <w:t>than</w:t>
      </w:r>
      <w:r>
        <w:rPr>
          <w:rFonts w:ascii="Arial"/>
          <w:color w:val="18161F"/>
          <w:spacing w:val="-2"/>
          <w:w w:val="90"/>
          <w:sz w:val="18"/>
        </w:rPr>
        <w:t> </w:t>
      </w:r>
      <w:r>
        <w:rPr>
          <w:rFonts w:ascii="Arial"/>
          <w:color w:val="18161F"/>
          <w:w w:val="90"/>
          <w:sz w:val="18"/>
        </w:rPr>
        <w:t>anticipated </w:t>
      </w:r>
      <w:r>
        <w:rPr>
          <w:rFonts w:ascii="Arial"/>
          <w:color w:val="3F363B"/>
          <w:w w:val="90"/>
          <w:sz w:val="18"/>
        </w:rPr>
        <w:t>l</w:t>
      </w:r>
      <w:r>
        <w:rPr>
          <w:rFonts w:ascii="Arial"/>
          <w:color w:val="18161F"/>
          <w:w w:val="90"/>
          <w:sz w:val="18"/>
        </w:rPr>
        <w:t>ega</w:t>
      </w:r>
      <w:r>
        <w:rPr>
          <w:rFonts w:ascii="Arial"/>
          <w:color w:val="3F363B"/>
          <w:w w:val="90"/>
          <w:sz w:val="18"/>
        </w:rPr>
        <w:t>l</w:t>
      </w:r>
      <w:r>
        <w:rPr>
          <w:rFonts w:ascii="Arial"/>
          <w:color w:val="3F363B"/>
          <w:spacing w:val="-12"/>
          <w:w w:val="90"/>
          <w:sz w:val="18"/>
        </w:rPr>
        <w:t> </w:t>
      </w:r>
      <w:r>
        <w:rPr>
          <w:rFonts w:ascii="Arial"/>
          <w:color w:val="030105"/>
          <w:w w:val="90"/>
          <w:sz w:val="18"/>
        </w:rPr>
        <w:t>f</w:t>
      </w:r>
      <w:r>
        <w:rPr>
          <w:rFonts w:ascii="Arial"/>
          <w:color w:val="18161F"/>
          <w:w w:val="90"/>
          <w:sz w:val="18"/>
        </w:rPr>
        <w:t>ees</w:t>
      </w:r>
      <w:r>
        <w:rPr>
          <w:rFonts w:ascii="Arial"/>
          <w:color w:val="3F363B"/>
          <w:w w:val="90"/>
          <w:sz w:val="18"/>
        </w:rPr>
        <w:t>.</w:t>
      </w:r>
    </w:p>
    <w:p>
      <w:pPr>
        <w:pStyle w:val="ListParagraph"/>
        <w:numPr>
          <w:ilvl w:val="0"/>
          <w:numId w:val="7"/>
        </w:numPr>
        <w:tabs>
          <w:tab w:pos="417" w:val="left" w:leader="none"/>
        </w:tabs>
        <w:spacing w:line="240" w:lineRule="auto" w:before="86" w:after="0"/>
        <w:ind w:left="416" w:right="0" w:hanging="159"/>
        <w:jc w:val="left"/>
        <w:rPr>
          <w:rFonts w:ascii="Arial"/>
          <w:color w:val="18161F"/>
          <w:sz w:val="18"/>
        </w:rPr>
      </w:pPr>
      <w:r>
        <w:rPr>
          <w:rFonts w:ascii="Arial"/>
          <w:color w:val="18161F"/>
          <w:w w:val="90"/>
          <w:sz w:val="18"/>
        </w:rPr>
        <w:t>Surp</w:t>
      </w:r>
      <w:r>
        <w:rPr>
          <w:rFonts w:ascii="Arial"/>
          <w:color w:val="3F363B"/>
          <w:w w:val="90"/>
          <w:sz w:val="18"/>
        </w:rPr>
        <w:t>l</w:t>
      </w:r>
      <w:r>
        <w:rPr>
          <w:rFonts w:ascii="Arial"/>
          <w:color w:val="18161F"/>
          <w:w w:val="90"/>
          <w:sz w:val="18"/>
        </w:rPr>
        <w:t>us</w:t>
      </w:r>
      <w:r>
        <w:rPr>
          <w:rFonts w:ascii="Arial"/>
          <w:color w:val="18161F"/>
          <w:spacing w:val="-13"/>
          <w:w w:val="90"/>
          <w:sz w:val="18"/>
        </w:rPr>
        <w:t> </w:t>
      </w:r>
      <w:r>
        <w:rPr>
          <w:rFonts w:ascii="Arial"/>
          <w:color w:val="18161F"/>
          <w:w w:val="90"/>
          <w:sz w:val="18"/>
        </w:rPr>
        <w:t>of</w:t>
      </w:r>
      <w:r>
        <w:rPr>
          <w:rFonts w:ascii="Arial"/>
          <w:color w:val="18161F"/>
          <w:spacing w:val="-2"/>
          <w:w w:val="90"/>
          <w:sz w:val="18"/>
        </w:rPr>
        <w:t> </w:t>
      </w:r>
      <w:r>
        <w:rPr>
          <w:rFonts w:ascii="Arial"/>
          <w:color w:val="18161F"/>
          <w:spacing w:val="-8"/>
          <w:w w:val="90"/>
          <w:sz w:val="18"/>
        </w:rPr>
        <w:t>$0</w:t>
      </w:r>
      <w:r>
        <w:rPr>
          <w:rFonts w:ascii="Arial"/>
          <w:color w:val="504D4D"/>
          <w:spacing w:val="-8"/>
          <w:w w:val="90"/>
          <w:sz w:val="18"/>
        </w:rPr>
        <w:t>.</w:t>
      </w:r>
      <w:r>
        <w:rPr>
          <w:rFonts w:ascii="Arial"/>
          <w:color w:val="18161F"/>
          <w:spacing w:val="-8"/>
          <w:w w:val="90"/>
          <w:sz w:val="18"/>
        </w:rPr>
        <w:t>111</w:t>
      </w:r>
      <w:r>
        <w:rPr>
          <w:rFonts w:ascii="Arial"/>
          <w:color w:val="283141"/>
          <w:spacing w:val="-8"/>
          <w:w w:val="90"/>
          <w:sz w:val="18"/>
        </w:rPr>
        <w:t>M</w:t>
      </w:r>
      <w:r>
        <w:rPr>
          <w:rFonts w:ascii="Arial"/>
          <w:color w:val="283141"/>
          <w:spacing w:val="-17"/>
          <w:w w:val="90"/>
          <w:sz w:val="18"/>
        </w:rPr>
        <w:t> </w:t>
      </w:r>
      <w:r>
        <w:rPr>
          <w:rFonts w:ascii="Arial"/>
          <w:color w:val="18161F"/>
          <w:w w:val="90"/>
          <w:sz w:val="18"/>
        </w:rPr>
        <w:t>has</w:t>
      </w:r>
      <w:r>
        <w:rPr>
          <w:rFonts w:ascii="Arial"/>
          <w:color w:val="18161F"/>
          <w:spacing w:val="-7"/>
          <w:w w:val="90"/>
          <w:sz w:val="18"/>
        </w:rPr>
        <w:t> </w:t>
      </w:r>
      <w:r>
        <w:rPr>
          <w:rFonts w:ascii="Arial"/>
          <w:color w:val="18161F"/>
          <w:w w:val="90"/>
          <w:sz w:val="18"/>
        </w:rPr>
        <w:t>been</w:t>
      </w:r>
      <w:r>
        <w:rPr>
          <w:rFonts w:ascii="Arial"/>
          <w:color w:val="18161F"/>
          <w:spacing w:val="-1"/>
          <w:w w:val="90"/>
          <w:sz w:val="18"/>
        </w:rPr>
        <w:t> </w:t>
      </w:r>
      <w:r>
        <w:rPr>
          <w:rFonts w:ascii="Arial"/>
          <w:color w:val="283141"/>
          <w:w w:val="90"/>
          <w:sz w:val="18"/>
        </w:rPr>
        <w:t>r</w:t>
      </w:r>
      <w:r>
        <w:rPr>
          <w:rFonts w:ascii="Arial"/>
          <w:color w:val="18161F"/>
          <w:w w:val="90"/>
          <w:sz w:val="18"/>
        </w:rPr>
        <w:t>eturned</w:t>
      </w:r>
      <w:r>
        <w:rPr>
          <w:rFonts w:ascii="Arial"/>
          <w:color w:val="18161F"/>
          <w:spacing w:val="-3"/>
          <w:w w:val="90"/>
          <w:sz w:val="18"/>
        </w:rPr>
        <w:t> </w:t>
      </w:r>
      <w:r>
        <w:rPr>
          <w:rFonts w:ascii="Arial"/>
          <w:color w:val="18161F"/>
          <w:w w:val="90"/>
          <w:sz w:val="18"/>
        </w:rPr>
        <w:t>to</w:t>
      </w:r>
      <w:r>
        <w:rPr>
          <w:rFonts w:ascii="Arial"/>
          <w:color w:val="18161F"/>
          <w:spacing w:val="-8"/>
          <w:w w:val="90"/>
          <w:sz w:val="18"/>
        </w:rPr>
        <w:t> </w:t>
      </w:r>
      <w:r>
        <w:rPr>
          <w:rFonts w:ascii="Arial"/>
          <w:color w:val="18161F"/>
          <w:w w:val="90"/>
          <w:sz w:val="18"/>
        </w:rPr>
        <w:t>the</w:t>
      </w:r>
      <w:r>
        <w:rPr>
          <w:rFonts w:ascii="Arial"/>
          <w:color w:val="18161F"/>
          <w:spacing w:val="-3"/>
          <w:w w:val="90"/>
          <w:sz w:val="18"/>
        </w:rPr>
        <w:t> </w:t>
      </w:r>
      <w:r>
        <w:rPr>
          <w:rFonts w:ascii="Arial"/>
          <w:color w:val="18161F"/>
          <w:w w:val="90"/>
          <w:sz w:val="18"/>
        </w:rPr>
        <w:t>Conso</w:t>
      </w:r>
      <w:r>
        <w:rPr>
          <w:rFonts w:ascii="Arial"/>
          <w:color w:val="3F363B"/>
          <w:w w:val="90"/>
          <w:sz w:val="18"/>
        </w:rPr>
        <w:t>l</w:t>
      </w:r>
      <w:r>
        <w:rPr>
          <w:rFonts w:ascii="Arial"/>
          <w:color w:val="18161F"/>
          <w:w w:val="90"/>
          <w:sz w:val="18"/>
        </w:rPr>
        <w:t>i</w:t>
      </w:r>
      <w:r>
        <w:rPr>
          <w:rFonts w:ascii="Arial"/>
          <w:color w:val="283141"/>
          <w:w w:val="90"/>
          <w:sz w:val="18"/>
        </w:rPr>
        <w:t>d</w:t>
      </w:r>
      <w:r>
        <w:rPr>
          <w:rFonts w:ascii="Arial"/>
          <w:color w:val="18161F"/>
          <w:w w:val="90"/>
          <w:sz w:val="18"/>
        </w:rPr>
        <w:t>ated</w:t>
      </w:r>
      <w:r>
        <w:rPr>
          <w:rFonts w:ascii="Arial"/>
          <w:color w:val="18161F"/>
          <w:spacing w:val="2"/>
          <w:w w:val="90"/>
          <w:sz w:val="18"/>
        </w:rPr>
        <w:t> </w:t>
      </w:r>
      <w:r>
        <w:rPr>
          <w:rFonts w:ascii="Arial"/>
          <w:color w:val="18161F"/>
          <w:w w:val="90"/>
          <w:sz w:val="18"/>
        </w:rPr>
        <w:t>fund</w:t>
      </w:r>
      <w:r>
        <w:rPr>
          <w:rFonts w:ascii="Arial"/>
          <w:color w:val="3F363B"/>
          <w:w w:val="90"/>
          <w:sz w:val="18"/>
        </w:rPr>
        <w:t>.</w:t>
      </w:r>
    </w:p>
    <w:p>
      <w:pPr>
        <w:spacing w:after="0" w:line="240" w:lineRule="auto"/>
        <w:jc w:val="left"/>
        <w:rPr>
          <w:rFonts w:ascii="Arial"/>
          <w:sz w:val="18"/>
        </w:rPr>
        <w:sectPr>
          <w:type w:val="continuous"/>
          <w:pgSz w:w="16840" w:h="11910" w:orient="landscape"/>
          <w:pgMar w:top="1100" w:bottom="280" w:left="580" w:right="620"/>
        </w:sectPr>
      </w:pPr>
    </w:p>
    <w:p>
      <w:pPr>
        <w:pStyle w:val="BodyText"/>
        <w:ind w:left="139"/>
        <w:rPr>
          <w:rFonts w:ascii="Arial"/>
        </w:rPr>
      </w:pPr>
      <w:r>
        <w:rPr>
          <w:rFonts w:ascii="Arial"/>
        </w:rPr>
        <w:drawing>
          <wp:inline distT="0" distB="0" distL="0" distR="0">
            <wp:extent cx="9803372" cy="2679192"/>
            <wp:effectExtent l="0" t="0" r="0" b="0"/>
            <wp:docPr id="47" name="image33.jpeg"/>
            <wp:cNvGraphicFramePr>
              <a:graphicFrameLocks noChangeAspect="1"/>
            </wp:cNvGraphicFramePr>
            <a:graphic>
              <a:graphicData uri="http://schemas.openxmlformats.org/drawingml/2006/picture">
                <pic:pic>
                  <pic:nvPicPr>
                    <pic:cNvPr id="48" name="image33.jpeg"/>
                    <pic:cNvPicPr/>
                  </pic:nvPicPr>
                  <pic:blipFill>
                    <a:blip r:embed="rId49" cstate="print"/>
                    <a:stretch>
                      <a:fillRect/>
                    </a:stretch>
                  </pic:blipFill>
                  <pic:spPr>
                    <a:xfrm>
                      <a:off x="0" y="0"/>
                      <a:ext cx="9803372" cy="2679192"/>
                    </a:xfrm>
                    <a:prstGeom prst="rect">
                      <a:avLst/>
                    </a:prstGeom>
                  </pic:spPr>
                </pic:pic>
              </a:graphicData>
            </a:graphic>
          </wp:inline>
        </w:drawing>
      </w:r>
      <w:r>
        <w:rPr>
          <w:rFonts w:ascii="Arial"/>
        </w:rPr>
      </w:r>
    </w:p>
    <w:p>
      <w:pPr>
        <w:pStyle w:val="BodyText"/>
        <w:spacing w:before="4"/>
        <w:rPr>
          <w:rFonts w:ascii="Arial"/>
          <w:sz w:val="24"/>
        </w:rPr>
      </w:pPr>
    </w:p>
    <w:p>
      <w:pPr>
        <w:spacing w:after="0"/>
        <w:rPr>
          <w:rFonts w:ascii="Arial"/>
          <w:sz w:val="24"/>
        </w:rPr>
        <w:sectPr>
          <w:footerReference w:type="default" r:id="rId48"/>
          <w:pgSz w:w="16840" w:h="11910" w:orient="landscape"/>
          <w:pgMar w:footer="0" w:header="0" w:top="720" w:bottom="280" w:left="580" w:right="620"/>
        </w:sectPr>
      </w:pPr>
    </w:p>
    <w:p>
      <w:pPr>
        <w:pStyle w:val="Heading2"/>
        <w:spacing w:before="35"/>
        <w:ind w:left="195"/>
      </w:pPr>
      <w:r>
        <w:rPr>
          <w:color w:val="71A276"/>
          <w:w w:val="110"/>
        </w:rPr>
        <w:t>About this Report</w:t>
      </w:r>
    </w:p>
    <w:p>
      <w:pPr>
        <w:pStyle w:val="BodyText"/>
        <w:spacing w:line="276" w:lineRule="auto" w:before="149"/>
        <w:ind w:left="195" w:right="547"/>
      </w:pPr>
      <w:r>
        <w:rPr/>
        <w:t>The Annual Report provides information about the Integrity Commissioner’s financial and non-financial</w:t>
      </w:r>
    </w:p>
    <w:p>
      <w:pPr>
        <w:spacing w:line="276" w:lineRule="auto" w:before="0"/>
        <w:ind w:left="195" w:right="20" w:firstLine="0"/>
        <w:jc w:val="left"/>
        <w:rPr>
          <w:sz w:val="20"/>
        </w:rPr>
      </w:pPr>
      <w:r>
        <w:rPr>
          <w:sz w:val="20"/>
        </w:rPr>
        <w:t>performance for 2019–2020. It has been prepared in accordance with the </w:t>
      </w:r>
      <w:r>
        <w:rPr>
          <w:i/>
          <w:sz w:val="20"/>
        </w:rPr>
        <w:t>Financial Accountability Act 2009 </w:t>
      </w:r>
      <w:r>
        <w:rPr>
          <w:sz w:val="20"/>
        </w:rPr>
        <w:t>and the </w:t>
      </w:r>
      <w:r>
        <w:rPr>
          <w:i/>
          <w:sz w:val="20"/>
        </w:rPr>
        <w:t>Financial and Performance Management Standard </w:t>
      </w:r>
      <w:r>
        <w:rPr>
          <w:i/>
          <w:sz w:val="20"/>
        </w:rPr>
        <w:t>2009</w:t>
      </w:r>
      <w:r>
        <w:rPr>
          <w:sz w:val="20"/>
        </w:rPr>
        <w:t>.</w:t>
      </w:r>
    </w:p>
    <w:p>
      <w:pPr>
        <w:pStyle w:val="BodyText"/>
        <w:spacing w:before="120"/>
        <w:ind w:left="195"/>
      </w:pPr>
      <w:r>
        <w:rPr/>
        <w:t>The Annual Report has been prepared for the Speaker and</w:t>
      </w:r>
    </w:p>
    <w:p>
      <w:pPr>
        <w:pStyle w:val="BodyText"/>
        <w:spacing w:before="37"/>
        <w:ind w:left="195"/>
      </w:pPr>
      <w:r>
        <w:rPr/>
        <w:t>the Economics and Governance Committee for tabling in</w:t>
      </w:r>
    </w:p>
    <w:p>
      <w:pPr>
        <w:pStyle w:val="BodyText"/>
        <w:spacing w:before="37"/>
        <w:ind w:left="195"/>
      </w:pPr>
      <w:r>
        <w:rPr/>
        <w:t>the Legislative Assembly.</w:t>
      </w:r>
    </w:p>
    <w:p>
      <w:pPr>
        <w:pStyle w:val="BodyText"/>
        <w:spacing w:line="276" w:lineRule="auto" w:before="157"/>
        <w:ind w:left="195" w:right="20"/>
      </w:pPr>
      <w:r>
        <w:rPr/>
        <w:t>The Queensland Government is committed to providing accessible services to Queenslanders from all cultural and linguistically diverse backgrounds. If you have difficulty understanding the Annual Report, you can contact us on 07 3003 2888 and we will arrange an interpreter to</w:t>
      </w:r>
    </w:p>
    <w:p>
      <w:pPr>
        <w:pStyle w:val="BodyText"/>
        <w:ind w:left="195"/>
      </w:pPr>
      <w:r>
        <w:rPr/>
        <w:t>effectively interpret it.</w:t>
      </w:r>
    </w:p>
    <w:p>
      <w:pPr>
        <w:pStyle w:val="BodyText"/>
        <w:spacing w:before="157"/>
        <w:ind w:left="195"/>
      </w:pPr>
      <w:r>
        <w:rPr/>
        <w:t>Copies of this publication can be obtained from</w:t>
      </w:r>
    </w:p>
    <w:p>
      <w:pPr>
        <w:pStyle w:val="BodyText"/>
        <w:spacing w:before="37"/>
        <w:ind w:left="195"/>
      </w:pPr>
      <w:hyperlink r:id="rId50">
        <w:r>
          <w:rPr>
            <w:rFonts w:ascii="Times New Roman"/>
            <w:color w:val="E37D7D"/>
            <w:w w:val="99"/>
            <w:u w:val="single" w:color="E37D7D"/>
          </w:rPr>
          <w:t> </w:t>
        </w:r>
        <w:r>
          <w:rPr>
            <w:color w:val="E37D7D"/>
            <w:u w:val="single" w:color="E37D7D"/>
          </w:rPr>
          <w:t>www.integrity.qld.gov.au</w:t>
        </w:r>
        <w:r>
          <w:rPr>
            <w:color w:val="E37D7D"/>
          </w:rPr>
          <w:t> </w:t>
        </w:r>
      </w:hyperlink>
      <w:r>
        <w:rPr/>
        <w:t>or by contacting 07 3003 2888.</w:t>
      </w:r>
    </w:p>
    <w:p>
      <w:pPr>
        <w:pStyle w:val="BodyText"/>
      </w:pPr>
      <w:r>
        <w:rPr/>
        <w:br w:type="column"/>
      </w:r>
      <w:r>
        <w:rPr/>
      </w:r>
    </w:p>
    <w:p>
      <w:pPr>
        <w:pStyle w:val="BodyText"/>
        <w:spacing w:before="2"/>
        <w:rPr>
          <w:sz w:val="22"/>
        </w:rPr>
      </w:pPr>
    </w:p>
    <w:p>
      <w:pPr>
        <w:pStyle w:val="Heading6"/>
        <w:ind w:left="252"/>
      </w:pPr>
      <w:r>
        <w:rPr/>
        <w:t>Licence</w:t>
      </w:r>
    </w:p>
    <w:p>
      <w:pPr>
        <w:pStyle w:val="BodyText"/>
        <w:rPr>
          <w:b/>
          <w:sz w:val="9"/>
        </w:rPr>
      </w:pPr>
      <w:r>
        <w:rPr/>
        <w:drawing>
          <wp:anchor distT="0" distB="0" distL="0" distR="0" allowOverlap="1" layoutInCell="1" locked="0" behindDoc="0" simplePos="0" relativeHeight="32">
            <wp:simplePos x="0" y="0"/>
            <wp:positionH relativeFrom="page">
              <wp:posOffset>3790822</wp:posOffset>
            </wp:positionH>
            <wp:positionV relativeFrom="paragraph">
              <wp:posOffset>94734</wp:posOffset>
            </wp:positionV>
            <wp:extent cx="829568" cy="289369"/>
            <wp:effectExtent l="0" t="0" r="0" b="0"/>
            <wp:wrapTopAndBottom/>
            <wp:docPr id="49" name="image34.png"/>
            <wp:cNvGraphicFramePr>
              <a:graphicFrameLocks noChangeAspect="1"/>
            </wp:cNvGraphicFramePr>
            <a:graphic>
              <a:graphicData uri="http://schemas.openxmlformats.org/drawingml/2006/picture">
                <pic:pic>
                  <pic:nvPicPr>
                    <pic:cNvPr id="50" name="image34.png"/>
                    <pic:cNvPicPr/>
                  </pic:nvPicPr>
                  <pic:blipFill>
                    <a:blip r:embed="rId51" cstate="print"/>
                    <a:stretch>
                      <a:fillRect/>
                    </a:stretch>
                  </pic:blipFill>
                  <pic:spPr>
                    <a:xfrm>
                      <a:off x="0" y="0"/>
                      <a:ext cx="829568" cy="289369"/>
                    </a:xfrm>
                    <a:prstGeom prst="rect">
                      <a:avLst/>
                    </a:prstGeom>
                  </pic:spPr>
                </pic:pic>
              </a:graphicData>
            </a:graphic>
          </wp:anchor>
        </w:drawing>
      </w:r>
    </w:p>
    <w:p>
      <w:pPr>
        <w:pStyle w:val="BodyText"/>
        <w:spacing w:before="9"/>
        <w:rPr>
          <w:b/>
          <w:sz w:val="16"/>
        </w:rPr>
      </w:pPr>
    </w:p>
    <w:p>
      <w:pPr>
        <w:pStyle w:val="BodyText"/>
        <w:spacing w:line="276" w:lineRule="auto"/>
        <w:ind w:left="252" w:right="15"/>
      </w:pPr>
      <w:r>
        <w:rPr/>
        <w:t>This Annual Report is licensed by the State of Queensland (Queensland Integrity Commissioner) under a Creative Commons Attribution 4.0 International License.</w:t>
      </w:r>
    </w:p>
    <w:p>
      <w:pPr>
        <w:pStyle w:val="BodyText"/>
        <w:spacing w:before="120"/>
        <w:ind w:left="252"/>
      </w:pPr>
      <w:r>
        <w:rPr/>
        <w:t>To view a copy of this licence, visit:</w:t>
      </w:r>
    </w:p>
    <w:p>
      <w:pPr>
        <w:pStyle w:val="BodyText"/>
        <w:spacing w:before="37"/>
        <w:ind w:left="251"/>
      </w:pPr>
      <w:r>
        <w:rPr>
          <w:rFonts w:ascii="Times New Roman"/>
          <w:color w:val="E37D7D"/>
          <w:w w:val="99"/>
          <w:u w:val="single" w:color="E37D7D"/>
        </w:rPr>
        <w:t> </w:t>
      </w:r>
      <w:hyperlink r:id="rId52">
        <w:r>
          <w:rPr>
            <w:color w:val="E37D7D"/>
            <w:u w:val="single" w:color="E37D7D"/>
          </w:rPr>
          <w:t>http://creativecommons.org/licenses/by/4.0/</w:t>
        </w:r>
      </w:hyperlink>
    </w:p>
    <w:p>
      <w:pPr>
        <w:pStyle w:val="BodyText"/>
      </w:pPr>
      <w:r>
        <w:rPr/>
        <w:br w:type="column"/>
      </w:r>
      <w:r>
        <w:rPr/>
      </w:r>
    </w:p>
    <w:p>
      <w:pPr>
        <w:pStyle w:val="BodyText"/>
        <w:spacing w:before="10"/>
        <w:rPr>
          <w:sz w:val="28"/>
        </w:rPr>
      </w:pPr>
    </w:p>
    <w:p>
      <w:pPr>
        <w:pStyle w:val="Heading6"/>
      </w:pPr>
      <w:r>
        <w:rPr/>
        <w:t>Attribution</w:t>
      </w:r>
    </w:p>
    <w:p>
      <w:pPr>
        <w:pStyle w:val="BodyText"/>
        <w:spacing w:line="400" w:lineRule="atLeast" w:before="1"/>
        <w:ind w:left="196" w:right="244"/>
      </w:pPr>
      <w:r>
        <w:rPr/>
        <w:t>©The State of Queensland (Integrity Commissioner) 2020 The Queensland Government supports and encourages</w:t>
      </w:r>
    </w:p>
    <w:p>
      <w:pPr>
        <w:pStyle w:val="BodyText"/>
        <w:spacing w:line="276" w:lineRule="auto" w:before="38"/>
        <w:ind w:left="196"/>
      </w:pPr>
      <w:r>
        <w:rPr/>
        <w:t>the dissemination and exchange of information. However, copyright protects this document.</w:t>
      </w:r>
    </w:p>
    <w:p>
      <w:pPr>
        <w:pStyle w:val="BodyText"/>
        <w:spacing w:line="276" w:lineRule="auto" w:before="120"/>
        <w:ind w:left="196" w:right="206"/>
      </w:pPr>
      <w:r>
        <w:rPr/>
        <w:pict>
          <v:group style="position:absolute;margin-left:294.350006pt;margin-top:60.621483pt;width:255.3pt;height:110.05pt;mso-position-horizontal-relative:page;mso-position-vertical-relative:paragraph;z-index:15745536" coordorigin="5887,1212" coordsize="5106,2201">
            <v:shape style="position:absolute;left:5887;top:1212;width:5106;height:2201" coordorigin="5887,1212" coordsize="5106,2201" path="m10626,1212l6254,1212,6180,1220,6111,1241,6049,1275,5994,1320,5950,1374,5916,1436,5894,1505,5887,1579,5887,3046,5894,3120,5916,3189,5950,3251,5994,3305,6049,3350,6111,3384,6180,3405,6254,3413,10626,3413,10699,3405,10768,3384,10831,3350,10885,3305,10930,3251,10963,3189,10985,3120,10992,3046,10992,1579,10985,1505,10963,1436,10930,1374,10885,1320,10831,1275,10768,1241,10699,1220,10626,1212xe" filled="true" fillcolor="#d9d9d9" stroked="false">
              <v:path arrowok="t"/>
              <v:fill type="solid"/>
            </v:shape>
            <v:shape style="position:absolute;left:5887;top:1212;width:5106;height:2201" type="#_x0000_t202" filled="false" stroked="false">
              <v:textbox inset="0,0,0,0">
                <w:txbxContent>
                  <w:p>
                    <w:pPr>
                      <w:spacing w:before="149"/>
                      <w:ind w:left="140" w:right="0" w:firstLine="0"/>
                      <w:jc w:val="left"/>
                      <w:rPr>
                        <w:b/>
                        <w:sz w:val="20"/>
                      </w:rPr>
                    </w:pPr>
                    <w:r>
                      <w:rPr>
                        <w:b/>
                        <w:sz w:val="20"/>
                      </w:rPr>
                      <w:t>Our office location and contact details are:</w:t>
                    </w:r>
                  </w:p>
                  <w:p>
                    <w:pPr>
                      <w:spacing w:before="77"/>
                      <w:ind w:left="140" w:right="0" w:firstLine="0"/>
                      <w:jc w:val="left"/>
                      <w:rPr>
                        <w:sz w:val="20"/>
                      </w:rPr>
                    </w:pPr>
                    <w:r>
                      <w:rPr>
                        <w:sz w:val="20"/>
                      </w:rPr>
                      <w:t>Level 13, 53 Albert Street</w:t>
                    </w:r>
                  </w:p>
                  <w:p>
                    <w:pPr>
                      <w:spacing w:before="75"/>
                      <w:ind w:left="140" w:right="0" w:firstLine="0"/>
                      <w:jc w:val="left"/>
                      <w:rPr>
                        <w:sz w:val="20"/>
                      </w:rPr>
                    </w:pPr>
                    <w:r>
                      <w:rPr>
                        <w:sz w:val="20"/>
                      </w:rPr>
                      <w:t>Brisbane QLD 4000</w:t>
                    </w:r>
                  </w:p>
                  <w:p>
                    <w:pPr>
                      <w:spacing w:before="78"/>
                      <w:ind w:left="140" w:right="0" w:firstLine="0"/>
                      <w:jc w:val="left"/>
                      <w:rPr>
                        <w:sz w:val="20"/>
                      </w:rPr>
                    </w:pPr>
                    <w:r>
                      <w:rPr>
                        <w:sz w:val="20"/>
                      </w:rPr>
                      <w:t>T: 07 3003 2888</w:t>
                    </w:r>
                  </w:p>
                  <w:p>
                    <w:pPr>
                      <w:spacing w:before="75"/>
                      <w:ind w:left="140" w:right="0" w:firstLine="0"/>
                      <w:jc w:val="left"/>
                      <w:rPr>
                        <w:sz w:val="20"/>
                      </w:rPr>
                    </w:pPr>
                    <w:r>
                      <w:rPr>
                        <w:sz w:val="20"/>
                      </w:rPr>
                      <w:t>E:</w:t>
                    </w:r>
                    <w:r>
                      <w:rPr>
                        <w:color w:val="E37D7D"/>
                        <w:sz w:val="20"/>
                        <w:u w:val="single" w:color="E37D7D"/>
                      </w:rPr>
                      <w:t> </w:t>
                    </w:r>
                    <w:hyperlink r:id="rId53">
                      <w:r>
                        <w:rPr>
                          <w:color w:val="E37D7D"/>
                          <w:sz w:val="20"/>
                          <w:u w:val="single" w:color="E37D7D"/>
                        </w:rPr>
                        <w:t>integrity.commissioner@integrity.qld.gov.au</w:t>
                      </w:r>
                    </w:hyperlink>
                  </w:p>
                  <w:p>
                    <w:pPr>
                      <w:spacing w:before="78"/>
                      <w:ind w:left="140" w:right="0" w:firstLine="0"/>
                      <w:jc w:val="left"/>
                      <w:rPr>
                        <w:sz w:val="20"/>
                      </w:rPr>
                    </w:pPr>
                    <w:r>
                      <w:rPr>
                        <w:sz w:val="20"/>
                      </w:rPr>
                      <w:t>W:</w:t>
                    </w:r>
                    <w:r>
                      <w:rPr>
                        <w:color w:val="E37D7D"/>
                        <w:sz w:val="20"/>
                        <w:u w:val="single" w:color="E37D7D"/>
                      </w:rPr>
                      <w:t> </w:t>
                    </w:r>
                    <w:hyperlink r:id="rId50">
                      <w:r>
                        <w:rPr>
                          <w:color w:val="E37D7D"/>
                          <w:sz w:val="20"/>
                          <w:u w:val="single" w:color="E37D7D"/>
                        </w:rPr>
                        <w:t>www.integrity.qld.gov.au</w:t>
                      </w:r>
                    </w:hyperlink>
                  </w:p>
                </w:txbxContent>
              </v:textbox>
              <w10:wrap type="none"/>
            </v:shape>
            <w10:wrap type="none"/>
          </v:group>
        </w:pict>
      </w:r>
      <w:r>
        <w:rPr/>
        <w:t>The State of Queensland has no objection to this material being reproduced, made available online or electronically but only if it is recognised as the owner of the copyright and this material remains unaltered.</w:t>
      </w:r>
    </w:p>
    <w:p>
      <w:pPr>
        <w:pStyle w:val="BodyText"/>
        <w:spacing w:line="276" w:lineRule="auto" w:before="120"/>
        <w:ind w:left="196" w:right="672"/>
      </w:pPr>
      <w:r>
        <w:rPr/>
        <w:t>Copyright enquiries about this publication should be directed to the office of the Queensland Integrity Commissioner by email to:</w:t>
      </w:r>
    </w:p>
    <w:p>
      <w:pPr>
        <w:pStyle w:val="BodyText"/>
        <w:spacing w:line="276" w:lineRule="auto" w:before="1"/>
        <w:ind w:left="196" w:right="206" w:hanging="2"/>
      </w:pPr>
      <w:r>
        <w:rPr>
          <w:rFonts w:ascii="Times New Roman"/>
          <w:color w:val="E37D7D"/>
          <w:w w:val="99"/>
          <w:u w:val="single" w:color="E37D7D"/>
        </w:rPr>
        <w:t> </w:t>
      </w:r>
      <w:hyperlink r:id="rId53">
        <w:r>
          <w:rPr>
            <w:color w:val="E37D7D"/>
            <w:u w:val="single" w:color="E37D7D"/>
          </w:rPr>
          <w:t>integrity.commissioner@integrity.qld.gov.au</w:t>
        </w:r>
        <w:r>
          <w:rPr>
            <w:color w:val="E37D7D"/>
          </w:rPr>
          <w:t> </w:t>
        </w:r>
      </w:hyperlink>
      <w:r>
        <w:rPr/>
        <w:t>or in writing to Level 13, 53 Albert Street, Brisbane, Qld, 4000.</w:t>
      </w:r>
    </w:p>
    <w:sectPr>
      <w:type w:val="continuous"/>
      <w:pgSz w:w="16840" w:h="11910" w:orient="landscape"/>
      <w:pgMar w:top="1100" w:bottom="280" w:left="580" w:right="620"/>
      <w:cols w:num="3" w:equalWidth="0">
        <w:col w:w="4973" w:space="222"/>
        <w:col w:w="4966" w:space="341"/>
        <w:col w:w="513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Gill Sans MT">
    <w:altName w:val="Gill Sans MT"/>
    <w:charset w:val="0"/>
    <w:family w:val="swiss"/>
    <w:pitch w:val="variable"/>
  </w:font>
  <w:font w:name="Symbol">
    <w:altName w:val="Symbol"/>
    <w:charset w:val="2"/>
    <w:family w:val="roman"/>
    <w:pitch w:val="variable"/>
  </w:font>
  <w:font w:name="Wingdings 3">
    <w:altName w:val="Wingdings 3"/>
    <w:charset w:val="2"/>
    <w:family w:val="roman"/>
    <w:pitch w:val="variable"/>
  </w:font>
  <w:font w:name="Calibri Light">
    <w:altName w:val="Calibri Light"/>
    <w:charset w:val="0"/>
    <w:family w:val="swiss"/>
    <w:pitch w:val="variable"/>
  </w:font>
  <w:font w:name="Calisto MT">
    <w:altName w:val="Calisto MT"/>
    <w:charset w:val="0"/>
    <w:family w:val="roman"/>
    <w:pitch w:val="variable"/>
  </w:font>
  <w:font w:name="Garamond">
    <w:altName w:val="Garamond"/>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775.02002pt;margin-top:566.330017pt;width:29.05pt;height:12pt;mso-position-horizontal-relative:page;mso-position-vertical-relative:page;z-index:-16427008" type="#_x0000_t202" filled="false" stroked="false">
          <v:textbox inset="0,0,0,0">
            <w:txbxContent>
              <w:p>
                <w:pPr>
                  <w:pStyle w:val="BodyText"/>
                  <w:spacing w:line="223" w:lineRule="exact"/>
                  <w:ind w:left="20"/>
                </w:pPr>
                <w:r>
                  <w:rPr/>
                  <w:t>Page 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841.919983pt;height:595.319824pt;mso-position-horizontal-relative:page;mso-position-vertical-relative:page;z-index:-16426496" filled="true" fillcolor="#f9f9f9" stroked="false">
          <v:fill type="solid"/>
          <w10:wrap type="non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69.97998pt;margin-top:566.330017pt;width:36.050pt;height:12pt;mso-position-horizontal-relative:page;mso-position-vertical-relative:page;z-index:-16425984" type="#_x0000_t202" filled="false" stroked="false">
          <v:textbox inset="0,0,0,0">
            <w:txbxContent>
              <w:p>
                <w:pPr>
                  <w:pStyle w:val="BodyText"/>
                  <w:spacing w:line="223" w:lineRule="exact"/>
                  <w:ind w:left="20"/>
                </w:pPr>
                <w:r>
                  <w:rPr/>
                  <w:t>Page </w:t>
                </w:r>
                <w:r>
                  <w:rPr/>
                  <w:fldChar w:fldCharType="begin"/>
                </w:r>
                <w:r>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419" w:hanging="164"/>
        <w:jc w:val="left"/>
      </w:pPr>
      <w:rPr>
        <w:rFonts w:hint="default"/>
        <w:spacing w:val="-5"/>
        <w:w w:val="79"/>
        <w:lang w:val="en-au" w:eastAsia="en-US" w:bidi="ar-SA"/>
      </w:rPr>
    </w:lvl>
    <w:lvl w:ilvl="1">
      <w:start w:val="0"/>
      <w:numFmt w:val="bullet"/>
      <w:lvlText w:val="•"/>
      <w:lvlJc w:val="left"/>
      <w:pPr>
        <w:ind w:left="1941" w:hanging="164"/>
      </w:pPr>
      <w:rPr>
        <w:rFonts w:hint="default"/>
        <w:lang w:val="en-au" w:eastAsia="en-US" w:bidi="ar-SA"/>
      </w:rPr>
    </w:lvl>
    <w:lvl w:ilvl="2">
      <w:start w:val="0"/>
      <w:numFmt w:val="bullet"/>
      <w:lvlText w:val="•"/>
      <w:lvlJc w:val="left"/>
      <w:pPr>
        <w:ind w:left="3463" w:hanging="164"/>
      </w:pPr>
      <w:rPr>
        <w:rFonts w:hint="default"/>
        <w:lang w:val="en-au" w:eastAsia="en-US" w:bidi="ar-SA"/>
      </w:rPr>
    </w:lvl>
    <w:lvl w:ilvl="3">
      <w:start w:val="0"/>
      <w:numFmt w:val="bullet"/>
      <w:lvlText w:val="•"/>
      <w:lvlJc w:val="left"/>
      <w:pPr>
        <w:ind w:left="4985" w:hanging="164"/>
      </w:pPr>
      <w:rPr>
        <w:rFonts w:hint="default"/>
        <w:lang w:val="en-au" w:eastAsia="en-US" w:bidi="ar-SA"/>
      </w:rPr>
    </w:lvl>
    <w:lvl w:ilvl="4">
      <w:start w:val="0"/>
      <w:numFmt w:val="bullet"/>
      <w:lvlText w:val="•"/>
      <w:lvlJc w:val="left"/>
      <w:pPr>
        <w:ind w:left="6507" w:hanging="164"/>
      </w:pPr>
      <w:rPr>
        <w:rFonts w:hint="default"/>
        <w:lang w:val="en-au" w:eastAsia="en-US" w:bidi="ar-SA"/>
      </w:rPr>
    </w:lvl>
    <w:lvl w:ilvl="5">
      <w:start w:val="0"/>
      <w:numFmt w:val="bullet"/>
      <w:lvlText w:val="•"/>
      <w:lvlJc w:val="left"/>
      <w:pPr>
        <w:ind w:left="8029" w:hanging="164"/>
      </w:pPr>
      <w:rPr>
        <w:rFonts w:hint="default"/>
        <w:lang w:val="en-au" w:eastAsia="en-US" w:bidi="ar-SA"/>
      </w:rPr>
    </w:lvl>
    <w:lvl w:ilvl="6">
      <w:start w:val="0"/>
      <w:numFmt w:val="bullet"/>
      <w:lvlText w:val="•"/>
      <w:lvlJc w:val="left"/>
      <w:pPr>
        <w:ind w:left="9551" w:hanging="164"/>
      </w:pPr>
      <w:rPr>
        <w:rFonts w:hint="default"/>
        <w:lang w:val="en-au" w:eastAsia="en-US" w:bidi="ar-SA"/>
      </w:rPr>
    </w:lvl>
    <w:lvl w:ilvl="7">
      <w:start w:val="0"/>
      <w:numFmt w:val="bullet"/>
      <w:lvlText w:val="•"/>
      <w:lvlJc w:val="left"/>
      <w:pPr>
        <w:ind w:left="11072" w:hanging="164"/>
      </w:pPr>
      <w:rPr>
        <w:rFonts w:hint="default"/>
        <w:lang w:val="en-au" w:eastAsia="en-US" w:bidi="ar-SA"/>
      </w:rPr>
    </w:lvl>
    <w:lvl w:ilvl="8">
      <w:start w:val="0"/>
      <w:numFmt w:val="bullet"/>
      <w:lvlText w:val="•"/>
      <w:lvlJc w:val="left"/>
      <w:pPr>
        <w:ind w:left="12594" w:hanging="164"/>
      </w:pPr>
      <w:rPr>
        <w:rFonts w:hint="default"/>
        <w:lang w:val="en-au" w:eastAsia="en-US" w:bidi="ar-SA"/>
      </w:rPr>
    </w:lvl>
  </w:abstractNum>
  <w:abstractNum w:abstractNumId="5">
    <w:multiLevelType w:val="hybridMultilevel"/>
    <w:lvl w:ilvl="0">
      <w:start w:val="1"/>
      <w:numFmt w:val="decimal"/>
      <w:lvlText w:val="%1."/>
      <w:lvlJc w:val="left"/>
      <w:pPr>
        <w:ind w:left="495" w:hanging="353"/>
        <w:jc w:val="left"/>
      </w:pPr>
      <w:rPr>
        <w:rFonts w:hint="default" w:ascii="Calibri" w:hAnsi="Calibri" w:eastAsia="Calibri" w:cs="Calibri"/>
        <w:spacing w:val="-1"/>
        <w:w w:val="99"/>
        <w:sz w:val="20"/>
        <w:szCs w:val="20"/>
        <w:lang w:val="en-au" w:eastAsia="en-US" w:bidi="ar-SA"/>
      </w:rPr>
    </w:lvl>
    <w:lvl w:ilvl="1">
      <w:start w:val="0"/>
      <w:numFmt w:val="bullet"/>
      <w:lvlText w:val="•"/>
      <w:lvlJc w:val="left"/>
      <w:pPr>
        <w:ind w:left="958" w:hanging="353"/>
      </w:pPr>
      <w:rPr>
        <w:rFonts w:hint="default"/>
        <w:lang w:val="en-au" w:eastAsia="en-US" w:bidi="ar-SA"/>
      </w:rPr>
    </w:lvl>
    <w:lvl w:ilvl="2">
      <w:start w:val="0"/>
      <w:numFmt w:val="bullet"/>
      <w:lvlText w:val="•"/>
      <w:lvlJc w:val="left"/>
      <w:pPr>
        <w:ind w:left="1416" w:hanging="353"/>
      </w:pPr>
      <w:rPr>
        <w:rFonts w:hint="default"/>
        <w:lang w:val="en-au" w:eastAsia="en-US" w:bidi="ar-SA"/>
      </w:rPr>
    </w:lvl>
    <w:lvl w:ilvl="3">
      <w:start w:val="0"/>
      <w:numFmt w:val="bullet"/>
      <w:lvlText w:val="•"/>
      <w:lvlJc w:val="left"/>
      <w:pPr>
        <w:ind w:left="1875" w:hanging="353"/>
      </w:pPr>
      <w:rPr>
        <w:rFonts w:hint="default"/>
        <w:lang w:val="en-au" w:eastAsia="en-US" w:bidi="ar-SA"/>
      </w:rPr>
    </w:lvl>
    <w:lvl w:ilvl="4">
      <w:start w:val="0"/>
      <w:numFmt w:val="bullet"/>
      <w:lvlText w:val="•"/>
      <w:lvlJc w:val="left"/>
      <w:pPr>
        <w:ind w:left="2333" w:hanging="353"/>
      </w:pPr>
      <w:rPr>
        <w:rFonts w:hint="default"/>
        <w:lang w:val="en-au" w:eastAsia="en-US" w:bidi="ar-SA"/>
      </w:rPr>
    </w:lvl>
    <w:lvl w:ilvl="5">
      <w:start w:val="0"/>
      <w:numFmt w:val="bullet"/>
      <w:lvlText w:val="•"/>
      <w:lvlJc w:val="left"/>
      <w:pPr>
        <w:ind w:left="2792" w:hanging="353"/>
      </w:pPr>
      <w:rPr>
        <w:rFonts w:hint="default"/>
        <w:lang w:val="en-au" w:eastAsia="en-US" w:bidi="ar-SA"/>
      </w:rPr>
    </w:lvl>
    <w:lvl w:ilvl="6">
      <w:start w:val="0"/>
      <w:numFmt w:val="bullet"/>
      <w:lvlText w:val="•"/>
      <w:lvlJc w:val="left"/>
      <w:pPr>
        <w:ind w:left="3250" w:hanging="353"/>
      </w:pPr>
      <w:rPr>
        <w:rFonts w:hint="default"/>
        <w:lang w:val="en-au" w:eastAsia="en-US" w:bidi="ar-SA"/>
      </w:rPr>
    </w:lvl>
    <w:lvl w:ilvl="7">
      <w:start w:val="0"/>
      <w:numFmt w:val="bullet"/>
      <w:lvlText w:val="•"/>
      <w:lvlJc w:val="left"/>
      <w:pPr>
        <w:ind w:left="3709" w:hanging="353"/>
      </w:pPr>
      <w:rPr>
        <w:rFonts w:hint="default"/>
        <w:lang w:val="en-au" w:eastAsia="en-US" w:bidi="ar-SA"/>
      </w:rPr>
    </w:lvl>
    <w:lvl w:ilvl="8">
      <w:start w:val="0"/>
      <w:numFmt w:val="bullet"/>
      <w:lvlText w:val="•"/>
      <w:lvlJc w:val="left"/>
      <w:pPr>
        <w:ind w:left="4167" w:hanging="353"/>
      </w:pPr>
      <w:rPr>
        <w:rFonts w:hint="default"/>
        <w:lang w:val="en-au" w:eastAsia="en-US" w:bidi="ar-SA"/>
      </w:rPr>
    </w:lvl>
  </w:abstractNum>
  <w:abstractNum w:abstractNumId="4">
    <w:multiLevelType w:val="hybridMultilevel"/>
    <w:lvl w:ilvl="0">
      <w:start w:val="0"/>
      <w:numFmt w:val="bullet"/>
      <w:lvlText w:val=""/>
      <w:lvlJc w:val="left"/>
      <w:pPr>
        <w:ind w:left="1714" w:hanging="274"/>
      </w:pPr>
      <w:rPr>
        <w:rFonts w:hint="default" w:ascii="Symbol" w:hAnsi="Symbol" w:eastAsia="Symbol" w:cs="Symbol"/>
        <w:w w:val="99"/>
        <w:sz w:val="20"/>
        <w:szCs w:val="20"/>
        <w:lang w:val="en-au" w:eastAsia="en-US" w:bidi="ar-SA"/>
      </w:rPr>
    </w:lvl>
    <w:lvl w:ilvl="1">
      <w:start w:val="0"/>
      <w:numFmt w:val="bullet"/>
      <w:lvlText w:val="•"/>
      <w:lvlJc w:val="left"/>
      <w:pPr>
        <w:ind w:left="2584" w:hanging="274"/>
      </w:pPr>
      <w:rPr>
        <w:rFonts w:hint="default"/>
        <w:lang w:val="en-au" w:eastAsia="en-US" w:bidi="ar-SA"/>
      </w:rPr>
    </w:lvl>
    <w:lvl w:ilvl="2">
      <w:start w:val="0"/>
      <w:numFmt w:val="bullet"/>
      <w:lvlText w:val="•"/>
      <w:lvlJc w:val="left"/>
      <w:pPr>
        <w:ind w:left="3448" w:hanging="274"/>
      </w:pPr>
      <w:rPr>
        <w:rFonts w:hint="default"/>
        <w:lang w:val="en-au" w:eastAsia="en-US" w:bidi="ar-SA"/>
      </w:rPr>
    </w:lvl>
    <w:lvl w:ilvl="3">
      <w:start w:val="0"/>
      <w:numFmt w:val="bullet"/>
      <w:lvlText w:val="•"/>
      <w:lvlJc w:val="left"/>
      <w:pPr>
        <w:ind w:left="4313" w:hanging="274"/>
      </w:pPr>
      <w:rPr>
        <w:rFonts w:hint="default"/>
        <w:lang w:val="en-au" w:eastAsia="en-US" w:bidi="ar-SA"/>
      </w:rPr>
    </w:lvl>
    <w:lvl w:ilvl="4">
      <w:start w:val="0"/>
      <w:numFmt w:val="bullet"/>
      <w:lvlText w:val="•"/>
      <w:lvlJc w:val="left"/>
      <w:pPr>
        <w:ind w:left="5177" w:hanging="274"/>
      </w:pPr>
      <w:rPr>
        <w:rFonts w:hint="default"/>
        <w:lang w:val="en-au" w:eastAsia="en-US" w:bidi="ar-SA"/>
      </w:rPr>
    </w:lvl>
    <w:lvl w:ilvl="5">
      <w:start w:val="0"/>
      <w:numFmt w:val="bullet"/>
      <w:lvlText w:val="•"/>
      <w:lvlJc w:val="left"/>
      <w:pPr>
        <w:ind w:left="6042" w:hanging="274"/>
      </w:pPr>
      <w:rPr>
        <w:rFonts w:hint="default"/>
        <w:lang w:val="en-au" w:eastAsia="en-US" w:bidi="ar-SA"/>
      </w:rPr>
    </w:lvl>
    <w:lvl w:ilvl="6">
      <w:start w:val="0"/>
      <w:numFmt w:val="bullet"/>
      <w:lvlText w:val="•"/>
      <w:lvlJc w:val="left"/>
      <w:pPr>
        <w:ind w:left="6906" w:hanging="274"/>
      </w:pPr>
      <w:rPr>
        <w:rFonts w:hint="default"/>
        <w:lang w:val="en-au" w:eastAsia="en-US" w:bidi="ar-SA"/>
      </w:rPr>
    </w:lvl>
    <w:lvl w:ilvl="7">
      <w:start w:val="0"/>
      <w:numFmt w:val="bullet"/>
      <w:lvlText w:val="•"/>
      <w:lvlJc w:val="left"/>
      <w:pPr>
        <w:ind w:left="7771" w:hanging="274"/>
      </w:pPr>
      <w:rPr>
        <w:rFonts w:hint="default"/>
        <w:lang w:val="en-au" w:eastAsia="en-US" w:bidi="ar-SA"/>
      </w:rPr>
    </w:lvl>
    <w:lvl w:ilvl="8">
      <w:start w:val="0"/>
      <w:numFmt w:val="bullet"/>
      <w:lvlText w:val="•"/>
      <w:lvlJc w:val="left"/>
      <w:pPr>
        <w:ind w:left="8635" w:hanging="274"/>
      </w:pPr>
      <w:rPr>
        <w:rFonts w:hint="default"/>
        <w:lang w:val="en-au" w:eastAsia="en-US" w:bidi="ar-SA"/>
      </w:rPr>
    </w:lvl>
  </w:abstractNum>
  <w:abstractNum w:abstractNumId="3">
    <w:multiLevelType w:val="hybridMultilevel"/>
    <w:lvl w:ilvl="0">
      <w:start w:val="0"/>
      <w:numFmt w:val="bullet"/>
      <w:lvlText w:val=""/>
      <w:lvlJc w:val="left"/>
      <w:pPr>
        <w:ind w:left="2708" w:hanging="267"/>
      </w:pPr>
      <w:rPr>
        <w:rFonts w:hint="default" w:ascii="Symbol" w:hAnsi="Symbol" w:eastAsia="Symbol" w:cs="Symbol"/>
        <w:w w:val="99"/>
        <w:sz w:val="20"/>
        <w:szCs w:val="20"/>
        <w:lang w:val="en-au" w:eastAsia="en-US" w:bidi="ar-SA"/>
      </w:rPr>
    </w:lvl>
    <w:lvl w:ilvl="1">
      <w:start w:val="0"/>
      <w:numFmt w:val="bullet"/>
      <w:lvlText w:val="•"/>
      <w:lvlJc w:val="left"/>
      <w:pPr>
        <w:ind w:left="3466" w:hanging="267"/>
      </w:pPr>
      <w:rPr>
        <w:rFonts w:hint="default"/>
        <w:lang w:val="en-au" w:eastAsia="en-US" w:bidi="ar-SA"/>
      </w:rPr>
    </w:lvl>
    <w:lvl w:ilvl="2">
      <w:start w:val="0"/>
      <w:numFmt w:val="bullet"/>
      <w:lvlText w:val="•"/>
      <w:lvlJc w:val="left"/>
      <w:pPr>
        <w:ind w:left="4232" w:hanging="267"/>
      </w:pPr>
      <w:rPr>
        <w:rFonts w:hint="default"/>
        <w:lang w:val="en-au" w:eastAsia="en-US" w:bidi="ar-SA"/>
      </w:rPr>
    </w:lvl>
    <w:lvl w:ilvl="3">
      <w:start w:val="0"/>
      <w:numFmt w:val="bullet"/>
      <w:lvlText w:val="•"/>
      <w:lvlJc w:val="left"/>
      <w:pPr>
        <w:ind w:left="4999" w:hanging="267"/>
      </w:pPr>
      <w:rPr>
        <w:rFonts w:hint="default"/>
        <w:lang w:val="en-au" w:eastAsia="en-US" w:bidi="ar-SA"/>
      </w:rPr>
    </w:lvl>
    <w:lvl w:ilvl="4">
      <w:start w:val="0"/>
      <w:numFmt w:val="bullet"/>
      <w:lvlText w:val="•"/>
      <w:lvlJc w:val="left"/>
      <w:pPr>
        <w:ind w:left="5765" w:hanging="267"/>
      </w:pPr>
      <w:rPr>
        <w:rFonts w:hint="default"/>
        <w:lang w:val="en-au" w:eastAsia="en-US" w:bidi="ar-SA"/>
      </w:rPr>
    </w:lvl>
    <w:lvl w:ilvl="5">
      <w:start w:val="0"/>
      <w:numFmt w:val="bullet"/>
      <w:lvlText w:val="•"/>
      <w:lvlJc w:val="left"/>
      <w:pPr>
        <w:ind w:left="6532" w:hanging="267"/>
      </w:pPr>
      <w:rPr>
        <w:rFonts w:hint="default"/>
        <w:lang w:val="en-au" w:eastAsia="en-US" w:bidi="ar-SA"/>
      </w:rPr>
    </w:lvl>
    <w:lvl w:ilvl="6">
      <w:start w:val="0"/>
      <w:numFmt w:val="bullet"/>
      <w:lvlText w:val="•"/>
      <w:lvlJc w:val="left"/>
      <w:pPr>
        <w:ind w:left="7298" w:hanging="267"/>
      </w:pPr>
      <w:rPr>
        <w:rFonts w:hint="default"/>
        <w:lang w:val="en-au" w:eastAsia="en-US" w:bidi="ar-SA"/>
      </w:rPr>
    </w:lvl>
    <w:lvl w:ilvl="7">
      <w:start w:val="0"/>
      <w:numFmt w:val="bullet"/>
      <w:lvlText w:val="•"/>
      <w:lvlJc w:val="left"/>
      <w:pPr>
        <w:ind w:left="8065" w:hanging="267"/>
      </w:pPr>
      <w:rPr>
        <w:rFonts w:hint="default"/>
        <w:lang w:val="en-au" w:eastAsia="en-US" w:bidi="ar-SA"/>
      </w:rPr>
    </w:lvl>
    <w:lvl w:ilvl="8">
      <w:start w:val="0"/>
      <w:numFmt w:val="bullet"/>
      <w:lvlText w:val="•"/>
      <w:lvlJc w:val="left"/>
      <w:pPr>
        <w:ind w:left="8831" w:hanging="267"/>
      </w:pPr>
      <w:rPr>
        <w:rFonts w:hint="default"/>
        <w:lang w:val="en-au" w:eastAsia="en-US" w:bidi="ar-SA"/>
      </w:rPr>
    </w:lvl>
  </w:abstractNum>
  <w:abstractNum w:abstractNumId="2">
    <w:multiLevelType w:val="hybridMultilevel"/>
    <w:lvl w:ilvl="0">
      <w:start w:val="0"/>
      <w:numFmt w:val="bullet"/>
      <w:lvlText w:val=""/>
      <w:lvlJc w:val="left"/>
      <w:pPr>
        <w:ind w:left="641" w:hanging="360"/>
      </w:pPr>
      <w:rPr>
        <w:rFonts w:hint="default" w:ascii="Symbol" w:hAnsi="Symbol" w:eastAsia="Symbol" w:cs="Symbol"/>
        <w:w w:val="99"/>
        <w:sz w:val="20"/>
        <w:szCs w:val="20"/>
        <w:lang w:val="en-au" w:eastAsia="en-US" w:bidi="ar-SA"/>
      </w:rPr>
    </w:lvl>
    <w:lvl w:ilvl="1">
      <w:start w:val="0"/>
      <w:numFmt w:val="bullet"/>
      <w:lvlText w:val=""/>
      <w:lvlJc w:val="left"/>
      <w:pPr>
        <w:ind w:left="2885" w:hanging="267"/>
      </w:pPr>
      <w:rPr>
        <w:rFonts w:hint="default" w:ascii="Symbol" w:hAnsi="Symbol" w:eastAsia="Symbol" w:cs="Symbol"/>
        <w:w w:val="99"/>
        <w:sz w:val="20"/>
        <w:szCs w:val="20"/>
        <w:lang w:val="en-au" w:eastAsia="en-US" w:bidi="ar-SA"/>
      </w:rPr>
    </w:lvl>
    <w:lvl w:ilvl="2">
      <w:start w:val="0"/>
      <w:numFmt w:val="bullet"/>
      <w:lvlText w:val="•"/>
      <w:lvlJc w:val="left"/>
      <w:pPr>
        <w:ind w:left="2520" w:hanging="267"/>
      </w:pPr>
      <w:rPr>
        <w:rFonts w:hint="default"/>
        <w:lang w:val="en-au" w:eastAsia="en-US" w:bidi="ar-SA"/>
      </w:rPr>
    </w:lvl>
    <w:lvl w:ilvl="3">
      <w:start w:val="0"/>
      <w:numFmt w:val="bullet"/>
      <w:lvlText w:val="•"/>
      <w:lvlJc w:val="left"/>
      <w:pPr>
        <w:ind w:left="2160" w:hanging="267"/>
      </w:pPr>
      <w:rPr>
        <w:rFonts w:hint="default"/>
        <w:lang w:val="en-au" w:eastAsia="en-US" w:bidi="ar-SA"/>
      </w:rPr>
    </w:lvl>
    <w:lvl w:ilvl="4">
      <w:start w:val="0"/>
      <w:numFmt w:val="bullet"/>
      <w:lvlText w:val="•"/>
      <w:lvlJc w:val="left"/>
      <w:pPr>
        <w:ind w:left="1800" w:hanging="267"/>
      </w:pPr>
      <w:rPr>
        <w:rFonts w:hint="default"/>
        <w:lang w:val="en-au" w:eastAsia="en-US" w:bidi="ar-SA"/>
      </w:rPr>
    </w:lvl>
    <w:lvl w:ilvl="5">
      <w:start w:val="0"/>
      <w:numFmt w:val="bullet"/>
      <w:lvlText w:val="•"/>
      <w:lvlJc w:val="left"/>
      <w:pPr>
        <w:ind w:left="1440" w:hanging="267"/>
      </w:pPr>
      <w:rPr>
        <w:rFonts w:hint="default"/>
        <w:lang w:val="en-au" w:eastAsia="en-US" w:bidi="ar-SA"/>
      </w:rPr>
    </w:lvl>
    <w:lvl w:ilvl="6">
      <w:start w:val="0"/>
      <w:numFmt w:val="bullet"/>
      <w:lvlText w:val="•"/>
      <w:lvlJc w:val="left"/>
      <w:pPr>
        <w:ind w:left="1080" w:hanging="267"/>
      </w:pPr>
      <w:rPr>
        <w:rFonts w:hint="default"/>
        <w:lang w:val="en-au" w:eastAsia="en-US" w:bidi="ar-SA"/>
      </w:rPr>
    </w:lvl>
    <w:lvl w:ilvl="7">
      <w:start w:val="0"/>
      <w:numFmt w:val="bullet"/>
      <w:lvlText w:val="•"/>
      <w:lvlJc w:val="left"/>
      <w:pPr>
        <w:ind w:left="720" w:hanging="267"/>
      </w:pPr>
      <w:rPr>
        <w:rFonts w:hint="default"/>
        <w:lang w:val="en-au" w:eastAsia="en-US" w:bidi="ar-SA"/>
      </w:rPr>
    </w:lvl>
    <w:lvl w:ilvl="8">
      <w:start w:val="0"/>
      <w:numFmt w:val="bullet"/>
      <w:lvlText w:val="•"/>
      <w:lvlJc w:val="left"/>
      <w:pPr>
        <w:ind w:left="361" w:hanging="267"/>
      </w:pPr>
      <w:rPr>
        <w:rFonts w:hint="default"/>
        <w:lang w:val="en-au" w:eastAsia="en-US" w:bidi="ar-SA"/>
      </w:rPr>
    </w:lvl>
  </w:abstractNum>
  <w:abstractNum w:abstractNumId="1">
    <w:multiLevelType w:val="hybridMultilevel"/>
    <w:lvl w:ilvl="0">
      <w:start w:val="16"/>
      <w:numFmt w:val="decimal"/>
      <w:lvlText w:val="%1"/>
      <w:lvlJc w:val="left"/>
      <w:pPr>
        <w:ind w:left="653" w:hanging="203"/>
        <w:jc w:val="left"/>
      </w:pPr>
      <w:rPr>
        <w:rFonts w:hint="default" w:ascii="Calibri" w:hAnsi="Calibri" w:eastAsia="Calibri" w:cs="Calibri"/>
        <w:b/>
        <w:bCs/>
        <w:spacing w:val="-1"/>
        <w:w w:val="99"/>
        <w:sz w:val="18"/>
        <w:szCs w:val="18"/>
        <w:lang w:val="en-au" w:eastAsia="en-US" w:bidi="ar-SA"/>
      </w:rPr>
    </w:lvl>
    <w:lvl w:ilvl="1">
      <w:start w:val="0"/>
      <w:numFmt w:val="bullet"/>
      <w:lvlText w:val="•"/>
      <w:lvlJc w:val="left"/>
      <w:pPr>
        <w:ind w:left="1394" w:hanging="203"/>
      </w:pPr>
      <w:rPr>
        <w:rFonts w:hint="default"/>
        <w:lang w:val="en-au" w:eastAsia="en-US" w:bidi="ar-SA"/>
      </w:rPr>
    </w:lvl>
    <w:lvl w:ilvl="2">
      <w:start w:val="0"/>
      <w:numFmt w:val="bullet"/>
      <w:lvlText w:val="•"/>
      <w:lvlJc w:val="left"/>
      <w:pPr>
        <w:ind w:left="2129" w:hanging="203"/>
      </w:pPr>
      <w:rPr>
        <w:rFonts w:hint="default"/>
        <w:lang w:val="en-au" w:eastAsia="en-US" w:bidi="ar-SA"/>
      </w:rPr>
    </w:lvl>
    <w:lvl w:ilvl="3">
      <w:start w:val="0"/>
      <w:numFmt w:val="bullet"/>
      <w:lvlText w:val="•"/>
      <w:lvlJc w:val="left"/>
      <w:pPr>
        <w:ind w:left="2863" w:hanging="203"/>
      </w:pPr>
      <w:rPr>
        <w:rFonts w:hint="default"/>
        <w:lang w:val="en-au" w:eastAsia="en-US" w:bidi="ar-SA"/>
      </w:rPr>
    </w:lvl>
    <w:lvl w:ilvl="4">
      <w:start w:val="0"/>
      <w:numFmt w:val="bullet"/>
      <w:lvlText w:val="•"/>
      <w:lvlJc w:val="left"/>
      <w:pPr>
        <w:ind w:left="3598" w:hanging="203"/>
      </w:pPr>
      <w:rPr>
        <w:rFonts w:hint="default"/>
        <w:lang w:val="en-au" w:eastAsia="en-US" w:bidi="ar-SA"/>
      </w:rPr>
    </w:lvl>
    <w:lvl w:ilvl="5">
      <w:start w:val="0"/>
      <w:numFmt w:val="bullet"/>
      <w:lvlText w:val="•"/>
      <w:lvlJc w:val="left"/>
      <w:pPr>
        <w:ind w:left="4333" w:hanging="203"/>
      </w:pPr>
      <w:rPr>
        <w:rFonts w:hint="default"/>
        <w:lang w:val="en-au" w:eastAsia="en-US" w:bidi="ar-SA"/>
      </w:rPr>
    </w:lvl>
    <w:lvl w:ilvl="6">
      <w:start w:val="0"/>
      <w:numFmt w:val="bullet"/>
      <w:lvlText w:val="•"/>
      <w:lvlJc w:val="left"/>
      <w:pPr>
        <w:ind w:left="5067" w:hanging="203"/>
      </w:pPr>
      <w:rPr>
        <w:rFonts w:hint="default"/>
        <w:lang w:val="en-au" w:eastAsia="en-US" w:bidi="ar-SA"/>
      </w:rPr>
    </w:lvl>
    <w:lvl w:ilvl="7">
      <w:start w:val="0"/>
      <w:numFmt w:val="bullet"/>
      <w:lvlText w:val="•"/>
      <w:lvlJc w:val="left"/>
      <w:pPr>
        <w:ind w:left="5802" w:hanging="203"/>
      </w:pPr>
      <w:rPr>
        <w:rFonts w:hint="default"/>
        <w:lang w:val="en-au" w:eastAsia="en-US" w:bidi="ar-SA"/>
      </w:rPr>
    </w:lvl>
    <w:lvl w:ilvl="8">
      <w:start w:val="0"/>
      <w:numFmt w:val="bullet"/>
      <w:lvlText w:val="•"/>
      <w:lvlJc w:val="left"/>
      <w:pPr>
        <w:ind w:left="6537" w:hanging="203"/>
      </w:pPr>
      <w:rPr>
        <w:rFonts w:hint="default"/>
        <w:lang w:val="en-au" w:eastAsia="en-US" w:bidi="ar-SA"/>
      </w:rPr>
    </w:lvl>
  </w:abstractNum>
  <w:abstractNum w:abstractNumId="0">
    <w:multiLevelType w:val="hybridMultilevel"/>
    <w:lvl w:ilvl="0">
      <w:start w:val="4"/>
      <w:numFmt w:val="decimal"/>
      <w:lvlText w:val="%1"/>
      <w:lvlJc w:val="left"/>
      <w:pPr>
        <w:ind w:left="3009" w:hanging="102"/>
        <w:jc w:val="left"/>
      </w:pPr>
      <w:rPr>
        <w:rFonts w:hint="default" w:ascii="Calibri" w:hAnsi="Calibri" w:eastAsia="Calibri" w:cs="Calibri"/>
        <w:b/>
        <w:bCs/>
        <w:w w:val="99"/>
        <w:sz w:val="18"/>
        <w:szCs w:val="18"/>
        <w:lang w:val="en-au" w:eastAsia="en-US" w:bidi="ar-SA"/>
      </w:rPr>
    </w:lvl>
    <w:lvl w:ilvl="1">
      <w:start w:val="0"/>
      <w:numFmt w:val="bullet"/>
      <w:lvlText w:val="•"/>
      <w:lvlJc w:val="left"/>
      <w:pPr>
        <w:ind w:left="3459" w:hanging="102"/>
      </w:pPr>
      <w:rPr>
        <w:rFonts w:hint="default"/>
        <w:lang w:val="en-au" w:eastAsia="en-US" w:bidi="ar-SA"/>
      </w:rPr>
    </w:lvl>
    <w:lvl w:ilvl="2">
      <w:start w:val="0"/>
      <w:numFmt w:val="bullet"/>
      <w:lvlText w:val="•"/>
      <w:lvlJc w:val="left"/>
      <w:pPr>
        <w:ind w:left="3918" w:hanging="102"/>
      </w:pPr>
      <w:rPr>
        <w:rFonts w:hint="default"/>
        <w:lang w:val="en-au" w:eastAsia="en-US" w:bidi="ar-SA"/>
      </w:rPr>
    </w:lvl>
    <w:lvl w:ilvl="3">
      <w:start w:val="0"/>
      <w:numFmt w:val="bullet"/>
      <w:lvlText w:val="•"/>
      <w:lvlJc w:val="left"/>
      <w:pPr>
        <w:ind w:left="4377" w:hanging="102"/>
      </w:pPr>
      <w:rPr>
        <w:rFonts w:hint="default"/>
        <w:lang w:val="en-au" w:eastAsia="en-US" w:bidi="ar-SA"/>
      </w:rPr>
    </w:lvl>
    <w:lvl w:ilvl="4">
      <w:start w:val="0"/>
      <w:numFmt w:val="bullet"/>
      <w:lvlText w:val="•"/>
      <w:lvlJc w:val="left"/>
      <w:pPr>
        <w:ind w:left="4836" w:hanging="102"/>
      </w:pPr>
      <w:rPr>
        <w:rFonts w:hint="default"/>
        <w:lang w:val="en-au" w:eastAsia="en-US" w:bidi="ar-SA"/>
      </w:rPr>
    </w:lvl>
    <w:lvl w:ilvl="5">
      <w:start w:val="0"/>
      <w:numFmt w:val="bullet"/>
      <w:lvlText w:val="•"/>
      <w:lvlJc w:val="left"/>
      <w:pPr>
        <w:ind w:left="5295" w:hanging="102"/>
      </w:pPr>
      <w:rPr>
        <w:rFonts w:hint="default"/>
        <w:lang w:val="en-au" w:eastAsia="en-US" w:bidi="ar-SA"/>
      </w:rPr>
    </w:lvl>
    <w:lvl w:ilvl="6">
      <w:start w:val="0"/>
      <w:numFmt w:val="bullet"/>
      <w:lvlText w:val="•"/>
      <w:lvlJc w:val="left"/>
      <w:pPr>
        <w:ind w:left="5755" w:hanging="102"/>
      </w:pPr>
      <w:rPr>
        <w:rFonts w:hint="default"/>
        <w:lang w:val="en-au" w:eastAsia="en-US" w:bidi="ar-SA"/>
      </w:rPr>
    </w:lvl>
    <w:lvl w:ilvl="7">
      <w:start w:val="0"/>
      <w:numFmt w:val="bullet"/>
      <w:lvlText w:val="•"/>
      <w:lvlJc w:val="left"/>
      <w:pPr>
        <w:ind w:left="6214" w:hanging="102"/>
      </w:pPr>
      <w:rPr>
        <w:rFonts w:hint="default"/>
        <w:lang w:val="en-au" w:eastAsia="en-US" w:bidi="ar-SA"/>
      </w:rPr>
    </w:lvl>
    <w:lvl w:ilvl="8">
      <w:start w:val="0"/>
      <w:numFmt w:val="bullet"/>
      <w:lvlText w:val="•"/>
      <w:lvlJc w:val="left"/>
      <w:pPr>
        <w:ind w:left="6673" w:hanging="102"/>
      </w:pPr>
      <w:rPr>
        <w:rFonts w:hint="default"/>
        <w:lang w:val="en-au"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au" w:eastAsia="en-US" w:bidi="ar-SA"/>
    </w:rPr>
  </w:style>
  <w:style w:styleId="BodyText" w:type="paragraph">
    <w:name w:val="Body Text"/>
    <w:basedOn w:val="Normal"/>
    <w:uiPriority w:val="1"/>
    <w:qFormat/>
    <w:pPr/>
    <w:rPr>
      <w:rFonts w:ascii="Calibri" w:hAnsi="Calibri" w:eastAsia="Calibri" w:cs="Calibri"/>
      <w:sz w:val="20"/>
      <w:szCs w:val="20"/>
      <w:lang w:val="en-au" w:eastAsia="en-US" w:bidi="ar-SA"/>
    </w:rPr>
  </w:style>
  <w:style w:styleId="Heading1" w:type="paragraph">
    <w:name w:val="Heading 1"/>
    <w:basedOn w:val="Normal"/>
    <w:uiPriority w:val="1"/>
    <w:qFormat/>
    <w:pPr>
      <w:spacing w:before="60"/>
      <w:ind w:left="294"/>
      <w:outlineLvl w:val="1"/>
    </w:pPr>
    <w:rPr>
      <w:rFonts w:ascii="Gill Sans MT" w:hAnsi="Gill Sans MT" w:eastAsia="Gill Sans MT" w:cs="Gill Sans MT"/>
      <w:sz w:val="72"/>
      <w:szCs w:val="72"/>
      <w:lang w:val="en-au" w:eastAsia="en-US" w:bidi="ar-SA"/>
    </w:rPr>
  </w:style>
  <w:style w:styleId="Heading2" w:type="paragraph">
    <w:name w:val="Heading 2"/>
    <w:basedOn w:val="Normal"/>
    <w:uiPriority w:val="1"/>
    <w:qFormat/>
    <w:pPr>
      <w:spacing w:before="14"/>
      <w:ind w:left="245"/>
      <w:outlineLvl w:val="2"/>
    </w:pPr>
    <w:rPr>
      <w:rFonts w:ascii="Calibri" w:hAnsi="Calibri" w:eastAsia="Calibri" w:cs="Calibri"/>
      <w:b/>
      <w:bCs/>
      <w:sz w:val="32"/>
      <w:szCs w:val="32"/>
      <w:lang w:val="en-au" w:eastAsia="en-US" w:bidi="ar-SA"/>
    </w:rPr>
  </w:style>
  <w:style w:styleId="Heading3" w:type="paragraph">
    <w:name w:val="Heading 3"/>
    <w:basedOn w:val="Normal"/>
    <w:uiPriority w:val="1"/>
    <w:qFormat/>
    <w:pPr>
      <w:spacing w:before="85"/>
      <w:ind w:left="245"/>
      <w:jc w:val="both"/>
      <w:outlineLvl w:val="3"/>
    </w:pPr>
    <w:rPr>
      <w:rFonts w:ascii="Gill Sans MT" w:hAnsi="Gill Sans MT" w:eastAsia="Gill Sans MT" w:cs="Gill Sans MT"/>
      <w:b/>
      <w:bCs/>
      <w:sz w:val="25"/>
      <w:szCs w:val="25"/>
      <w:lang w:val="en-au" w:eastAsia="en-US" w:bidi="ar-SA"/>
    </w:rPr>
  </w:style>
  <w:style w:styleId="Heading4" w:type="paragraph">
    <w:name w:val="Heading 4"/>
    <w:basedOn w:val="Normal"/>
    <w:uiPriority w:val="1"/>
    <w:qFormat/>
    <w:pPr>
      <w:ind w:left="245"/>
      <w:outlineLvl w:val="4"/>
    </w:pPr>
    <w:rPr>
      <w:rFonts w:ascii="Gill Sans MT" w:hAnsi="Gill Sans MT" w:eastAsia="Gill Sans MT" w:cs="Gill Sans MT"/>
      <w:sz w:val="24"/>
      <w:szCs w:val="24"/>
      <w:lang w:val="en-au" w:eastAsia="en-US" w:bidi="ar-SA"/>
    </w:rPr>
  </w:style>
  <w:style w:styleId="Heading5" w:type="paragraph">
    <w:name w:val="Heading 5"/>
    <w:basedOn w:val="Normal"/>
    <w:uiPriority w:val="1"/>
    <w:qFormat/>
    <w:pPr>
      <w:ind w:left="245"/>
      <w:outlineLvl w:val="5"/>
    </w:pPr>
    <w:rPr>
      <w:rFonts w:ascii="Calibri" w:hAnsi="Calibri" w:eastAsia="Calibri" w:cs="Calibri"/>
      <w:b/>
      <w:bCs/>
      <w:sz w:val="22"/>
      <w:szCs w:val="22"/>
      <w:lang w:val="en-au" w:eastAsia="en-US" w:bidi="ar-SA"/>
    </w:rPr>
  </w:style>
  <w:style w:styleId="Heading6" w:type="paragraph">
    <w:name w:val="Heading 6"/>
    <w:basedOn w:val="Normal"/>
    <w:uiPriority w:val="1"/>
    <w:qFormat/>
    <w:pPr>
      <w:ind w:left="196"/>
      <w:outlineLvl w:val="6"/>
    </w:pPr>
    <w:rPr>
      <w:rFonts w:ascii="Calibri" w:hAnsi="Calibri" w:eastAsia="Calibri" w:cs="Calibri"/>
      <w:b/>
      <w:bCs/>
      <w:sz w:val="20"/>
      <w:szCs w:val="20"/>
      <w:lang w:val="en-au" w:eastAsia="en-US" w:bidi="ar-SA"/>
    </w:rPr>
  </w:style>
  <w:style w:styleId="ListParagraph" w:type="paragraph">
    <w:name w:val="List Paragraph"/>
    <w:basedOn w:val="Normal"/>
    <w:uiPriority w:val="1"/>
    <w:qFormat/>
    <w:pPr>
      <w:spacing w:before="153"/>
      <w:ind w:left="605" w:hanging="361"/>
    </w:pPr>
    <w:rPr>
      <w:rFonts w:ascii="Calibri" w:hAnsi="Calibri" w:eastAsia="Calibri" w:cs="Calibri"/>
      <w:lang w:val="en-au" w:eastAsia="en-US" w:bidi="ar-SA"/>
    </w:rPr>
  </w:style>
  <w:style w:styleId="TableParagraph" w:type="paragraph">
    <w:name w:val="Table Paragraph"/>
    <w:basedOn w:val="Normal"/>
    <w:uiPriority w:val="1"/>
    <w:qFormat/>
    <w:pPr/>
    <w:rPr>
      <w:rFonts w:ascii="Calibri" w:hAnsi="Calibri" w:eastAsia="Calibri" w:cs="Calibri"/>
      <w:lang w:val="en-a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png"/><Relationship Id="rId38" Type="http://schemas.openxmlformats.org/officeDocument/2006/relationships/hyperlink" Target="https://lobbyists.integrity.qld.gov.au/ContactLog.aspx" TargetMode="External"/><Relationship Id="rId39" Type="http://schemas.openxmlformats.org/officeDocument/2006/relationships/hyperlink" Target="http://www.integrity.qld.gov.au/lobbyists/obligations-code-of-conduct.aspx" TargetMode="External"/><Relationship Id="rId40" Type="http://schemas.openxmlformats.org/officeDocument/2006/relationships/hyperlink" Target="https://www.integrity.qld.gov.au/lobbyists/lobbying-questions-answers.aspx" TargetMode="External"/><Relationship Id="rId41" Type="http://schemas.openxmlformats.org/officeDocument/2006/relationships/image" Target="media/image31.png"/><Relationship Id="rId42" Type="http://schemas.openxmlformats.org/officeDocument/2006/relationships/image" Target="media/image32.jpeg"/><Relationship Id="rId43" Type="http://schemas.openxmlformats.org/officeDocument/2006/relationships/hyperlink" Target="https://www.integrity.qld.gov.au/publications/podcasts/queensland-integrity-in-health/index.aspx" TargetMode="External"/><Relationship Id="rId44" Type="http://schemas.openxmlformats.org/officeDocument/2006/relationships/hyperlink" Target="https://www.integrity.qld.gov.au/publications/integrity-committee-meeting-notes.aspx" TargetMode="External"/><Relationship Id="rId45" Type="http://schemas.openxmlformats.org/officeDocument/2006/relationships/hyperlink" Target="https://www.qld.gov.au/" TargetMode="External"/><Relationship Id="rId46" Type="http://schemas.openxmlformats.org/officeDocument/2006/relationships/hyperlink" Target="http://www.archives.qld.gov.au/" TargetMode="External"/><Relationship Id="rId47" Type="http://schemas.openxmlformats.org/officeDocument/2006/relationships/hyperlink" Target="https://www.integrity.qld.gov.au/publications/annual-reports.aspx" TargetMode="External"/><Relationship Id="rId48" Type="http://schemas.openxmlformats.org/officeDocument/2006/relationships/footer" Target="footer4.xml"/><Relationship Id="rId49" Type="http://schemas.openxmlformats.org/officeDocument/2006/relationships/image" Target="media/image33.jpeg"/><Relationship Id="rId50" Type="http://schemas.openxmlformats.org/officeDocument/2006/relationships/hyperlink" Target="http://www.integrity.qld.gov.au/" TargetMode="External"/><Relationship Id="rId51" Type="http://schemas.openxmlformats.org/officeDocument/2006/relationships/image" Target="media/image34.png"/><Relationship Id="rId52" Type="http://schemas.openxmlformats.org/officeDocument/2006/relationships/hyperlink" Target="http://creativecommons.org/licenses/by/4.0/" TargetMode="External"/><Relationship Id="rId53" Type="http://schemas.openxmlformats.org/officeDocument/2006/relationships/hyperlink" Target="mailto:integrity.commissioner@integrity.qld.gov.au" TargetMode="External"/><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2020-09-30T23:44:03Z</dcterms:created>
  <dcterms:modified xsi:type="dcterms:W3CDTF">2020-09-30T23:44:03Z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2020-09-30T00:00:00Z</vt:filetime>
  </property>
  <property fmtid="{D5CDD505-2E9C-101B-9397-08002B2CF9AE}" pid="3" name="Creator">
    <vt:lpwstr>Microsoft® Publisher for Microsoft 365</vt:lpwstr>
  </property>
  <property fmtid="{D5CDD505-2E9C-101B-9397-08002B2CF9AE}" pid="4" name="LastSaved">
    <vt:filetime>2020-09-30T00:00:00Z</vt:filetime>
  </property>
</Properties>
</file>