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80"/>
        <w:ind w:left="11101" w:right="0" w:firstLine="0"/>
        <w:jc w:val="left"/>
        <w:rPr>
          <w:rFonts w:ascii="Gill Sans MT"/>
          <w:sz w:val="48"/>
        </w:rPr>
      </w:pPr>
      <w:r>
        <w:rPr/>
        <w:pict>
          <v:group style="position:absolute;margin-left:17.955pt;margin-top:17.965008pt;width:805.9pt;height:559.3pt;mso-position-horizontal-relative:page;mso-position-vertical-relative:page;z-index:-34816" coordorigin="359,359" coordsize="16118,11186">
            <v:shape style="position:absolute;left:359;top:359;width:16118;height:11186" type="#_x0000_t75" stroked="false">
              <v:imagedata r:id="rId5" o:title=""/>
            </v:shape>
            <v:shape style="position:absolute;left:10432;top:1230;width:1152;height:1141" type="#_x0000_t75" stroked="false">
              <v:imagedata r:id="rId6" o:title=""/>
            </v:shape>
            <w10:wrap type="none"/>
          </v:group>
        </w:pict>
      </w:r>
      <w:r>
        <w:rPr>
          <w:rFonts w:ascii="Gill Sans MT"/>
          <w:color w:val="FF6621"/>
          <w:sz w:val="48"/>
        </w:rPr>
        <w:t>Queensland</w:t>
      </w:r>
    </w:p>
    <w:p>
      <w:pPr>
        <w:spacing w:line="436" w:lineRule="auto" w:before="106"/>
        <w:ind w:left="10175" w:right="316" w:firstLine="926"/>
        <w:jc w:val="left"/>
        <w:rPr>
          <w:rFonts w:ascii="Gill Sans MT" w:hAnsi="Gill Sans MT"/>
          <w:sz w:val="48"/>
        </w:rPr>
      </w:pPr>
      <w:r>
        <w:rPr>
          <w:rFonts w:ascii="Gill Sans MT" w:hAnsi="Gill Sans MT"/>
          <w:color w:val="2CB99D"/>
          <w:sz w:val="48"/>
        </w:rPr>
        <w:t>Integrity Commissioner </w:t>
      </w:r>
      <w:r>
        <w:rPr>
          <w:rFonts w:ascii="Gill Sans MT" w:hAnsi="Gill Sans MT"/>
          <w:sz w:val="48"/>
        </w:rPr>
        <w:t>A</w:t>
      </w:r>
      <w:r>
        <w:rPr>
          <w:rFonts w:ascii="Gill Sans MT" w:hAnsi="Gill Sans MT"/>
          <w:sz w:val="38"/>
        </w:rPr>
        <w:t>NNUAL </w:t>
      </w:r>
      <w:r>
        <w:rPr>
          <w:rFonts w:ascii="Gill Sans MT" w:hAnsi="Gill Sans MT"/>
          <w:sz w:val="48"/>
        </w:rPr>
        <w:t>R</w:t>
      </w:r>
      <w:r>
        <w:rPr>
          <w:rFonts w:ascii="Gill Sans MT" w:hAnsi="Gill Sans MT"/>
          <w:sz w:val="38"/>
        </w:rPr>
        <w:t>EPORT </w:t>
      </w:r>
      <w:r>
        <w:rPr>
          <w:rFonts w:ascii="Gill Sans MT" w:hAnsi="Gill Sans MT"/>
          <w:sz w:val="48"/>
        </w:rPr>
        <w:t>2018–2019</w:t>
      </w:r>
    </w:p>
    <w:p>
      <w:pPr>
        <w:spacing w:line="349" w:lineRule="exact" w:before="0"/>
        <w:ind w:left="10633" w:right="844" w:firstLine="0"/>
        <w:jc w:val="center"/>
        <w:rPr>
          <w:rFonts w:ascii="Garamond"/>
          <w:i/>
          <w:sz w:val="36"/>
        </w:rPr>
      </w:pPr>
      <w:r>
        <w:rPr>
          <w:rFonts w:ascii="Garamond"/>
          <w:i/>
          <w:color w:val="2CB99D"/>
          <w:sz w:val="36"/>
        </w:rPr>
        <w:t>Encouraging confidence in public office</w:t>
      </w:r>
    </w:p>
    <w:p>
      <w:pPr>
        <w:spacing w:before="78"/>
        <w:ind w:left="0" w:right="1862" w:firstLine="0"/>
        <w:jc w:val="right"/>
        <w:rPr>
          <w:rFonts w:ascii="Garamond"/>
          <w:i/>
          <w:sz w:val="36"/>
        </w:rPr>
      </w:pPr>
      <w:r>
        <w:rPr>
          <w:rFonts w:ascii="Garamond"/>
          <w:i/>
          <w:color w:val="2CB99D"/>
          <w:sz w:val="36"/>
        </w:rPr>
        <w:t>&amp; public institutions</w:t>
      </w:r>
    </w:p>
    <w:p>
      <w:pPr>
        <w:spacing w:after="0"/>
        <w:jc w:val="right"/>
        <w:rPr>
          <w:rFonts w:ascii="Garamond"/>
          <w:sz w:val="36"/>
        </w:rPr>
        <w:sectPr>
          <w:type w:val="continuous"/>
          <w:pgSz w:w="16840" w:h="11910" w:orient="landscape"/>
          <w:pgMar w:top="960" w:bottom="280" w:left="540" w:right="260"/>
        </w:sectPr>
      </w:pPr>
    </w:p>
    <w:p>
      <w:pPr>
        <w:pStyle w:val="BodyText"/>
        <w:ind w:left="3685"/>
        <w:rPr>
          <w:rFonts w:ascii="Garamond"/>
        </w:rPr>
      </w:pPr>
      <w:r>
        <w:rPr/>
        <w:pict>
          <v:group style="position:absolute;margin-left:35.955002pt;margin-top:35.972008pt;width:770.5pt;height:523.9500pt;mso-position-horizontal-relative:page;mso-position-vertical-relative:page;z-index:-34768" coordorigin="719,719" coordsize="15410,10479">
            <v:shape style="position:absolute;left:719;top:719;width:15410;height:10457" type="#_x0000_t75" stroked="false">
              <v:imagedata r:id="rId8" o:title=""/>
            </v:shape>
            <v:shape style="position:absolute;left:4183;top:796;width:8477;height:10402" type="#_x0000_t75" stroked="false">
              <v:imagedata r:id="rId9" o:title=""/>
            </v:shape>
            <v:rect style="position:absolute;left:4235;top:847;width:8294;height:10219" filled="true" fillcolor="#ffffff" stroked="false">
              <v:fill type="solid"/>
            </v:rect>
            <v:shape style="position:absolute;left:4446;top:9324;width:2638;height:487" type="#_x0000_t75" stroked="false">
              <v:imagedata r:id="rId10" o:title=""/>
            </v:shape>
            <w10:wrap type="none"/>
          </v:group>
        </w:pict>
      </w:r>
      <w:r>
        <w:rPr>
          <w:rFonts w:ascii="Garamond"/>
          <w:position w:val="0"/>
        </w:rPr>
        <w:pict>
          <v:shape style="width:414.7pt;height:510.95pt;mso-position-horizontal-relative:char;mso-position-vertical-relative:line" type="#_x0000_t202" filled="false" stroked="true" strokeweight="1pt" strokecolor="#808080">
            <w10:anchorlock/>
            <v:textbox inset="0,0,0,0">
              <w:txbxContent>
                <w:p>
                  <w:pPr>
                    <w:pStyle w:val="BodyText"/>
                    <w:spacing w:before="6"/>
                    <w:rPr>
                      <w:rFonts w:ascii="Garamond"/>
                      <w:i/>
                      <w:sz w:val="26"/>
                    </w:rPr>
                  </w:pPr>
                </w:p>
                <w:p>
                  <w:pPr>
                    <w:pStyle w:val="BodyText"/>
                    <w:spacing w:line="276" w:lineRule="auto"/>
                    <w:ind w:left="231" w:right="4935"/>
                  </w:pPr>
                  <w:r>
                    <w:rPr/>
                    <w:t>The Honourable Curtis Pitt MP Speaker of the Legislative Assembly Parliament House</w:t>
                  </w:r>
                </w:p>
                <w:p>
                  <w:pPr>
                    <w:pStyle w:val="BodyText"/>
                    <w:ind w:left="231"/>
                  </w:pPr>
                  <w:r>
                    <w:rPr/>
                    <w:t>George Street</w:t>
                  </w:r>
                </w:p>
                <w:p>
                  <w:pPr>
                    <w:pStyle w:val="BodyText"/>
                    <w:spacing w:before="37"/>
                    <w:ind w:left="231"/>
                  </w:pPr>
                  <w:r>
                    <w:rPr/>
                    <w:t>BRISBANE QLD 4000</w:t>
                  </w:r>
                </w:p>
                <w:p>
                  <w:pPr>
                    <w:pStyle w:val="BodyText"/>
                    <w:spacing w:before="3"/>
                    <w:rPr>
                      <w:rFonts w:ascii="Garamond"/>
                      <w:i/>
                      <w:sz w:val="19"/>
                    </w:rPr>
                  </w:pPr>
                </w:p>
                <w:p>
                  <w:pPr>
                    <w:pStyle w:val="BodyText"/>
                    <w:ind w:left="231"/>
                  </w:pPr>
                  <w:r>
                    <w:rPr/>
                    <w:t>Dear Mr Speaker</w:t>
                  </w:r>
                </w:p>
                <w:p>
                  <w:pPr>
                    <w:pStyle w:val="BodyText"/>
                    <w:spacing w:before="7"/>
                    <w:rPr>
                      <w:rFonts w:ascii="Garamond"/>
                      <w:i/>
                      <w:sz w:val="24"/>
                    </w:rPr>
                  </w:pPr>
                </w:p>
                <w:p>
                  <w:pPr>
                    <w:pStyle w:val="BodyText"/>
                    <w:spacing w:line="276" w:lineRule="auto"/>
                    <w:ind w:left="231" w:right="394"/>
                    <w:jc w:val="both"/>
                  </w:pPr>
                  <w:r>
                    <w:rPr/>
                    <w:t>I am pleased to provide you with the Queensland Integrity Commissioner Annual Report 2018-2019. This is the second annual report since my appointment as Integrity Commissioner, and the tenth report under the provisions of section 85 of the </w:t>
                  </w:r>
                  <w:r>
                    <w:rPr>
                      <w:i/>
                    </w:rPr>
                    <w:t>Integrity Act 2009</w:t>
                  </w:r>
                  <w:r>
                    <w:rPr/>
                    <w:t>.</w:t>
                  </w:r>
                </w:p>
                <w:p>
                  <w:pPr>
                    <w:pStyle w:val="BodyText"/>
                    <w:spacing w:before="4"/>
                    <w:rPr>
                      <w:rFonts w:ascii="Garamond"/>
                      <w:i/>
                      <w:sz w:val="21"/>
                    </w:rPr>
                  </w:pPr>
                </w:p>
                <w:p>
                  <w:pPr>
                    <w:pStyle w:val="BodyText"/>
                    <w:spacing w:line="276" w:lineRule="auto"/>
                    <w:ind w:left="231" w:right="392"/>
                    <w:jc w:val="both"/>
                  </w:pPr>
                  <w:r>
                    <w:rPr/>
                    <w:t>The Annual Report covers a further period of unprecedented demand in requests for the services of the Integrity Commissioner including requests for advice, and requests in line with the public awareness raising function of the Commissioner.</w:t>
                  </w:r>
                </w:p>
                <w:p>
                  <w:pPr>
                    <w:pStyle w:val="BodyText"/>
                    <w:spacing w:before="3"/>
                    <w:rPr>
                      <w:rFonts w:ascii="Garamond"/>
                      <w:i/>
                      <w:sz w:val="21"/>
                    </w:rPr>
                  </w:pPr>
                </w:p>
                <w:p>
                  <w:pPr>
                    <w:pStyle w:val="BodyText"/>
                    <w:spacing w:before="1"/>
                    <w:ind w:left="231"/>
                  </w:pPr>
                  <w:r>
                    <w:rPr/>
                    <w:t>It has been a rewarding and eventful year, with a noticeably heightened awareness of</w:t>
                  </w:r>
                </w:p>
                <w:p>
                  <w:pPr>
                    <w:pStyle w:val="BodyText"/>
                    <w:spacing w:before="37"/>
                    <w:ind w:left="231"/>
                  </w:pPr>
                  <w:r>
                    <w:rPr/>
                    <w:t>integrity standards across all sectors.</w:t>
                  </w:r>
                </w:p>
                <w:p>
                  <w:pPr>
                    <w:pStyle w:val="BodyText"/>
                    <w:spacing w:before="6"/>
                    <w:rPr>
                      <w:rFonts w:ascii="Garamond"/>
                      <w:i/>
                      <w:sz w:val="24"/>
                    </w:rPr>
                  </w:pPr>
                </w:p>
                <w:p>
                  <w:pPr>
                    <w:pStyle w:val="BodyText"/>
                    <w:spacing w:line="276" w:lineRule="auto"/>
                    <w:ind w:left="231" w:right="394"/>
                    <w:jc w:val="both"/>
                  </w:pPr>
                  <w:r>
                    <w:rPr/>
                    <w:t>I wish to acknowledge the support and dedication of the staff who have supported me to fulfil my statutory obligations, and those in public office and public institutions who have responded to the community’s desire for a heightened level of integrity and ethical awareness in the public</w:t>
                  </w:r>
                  <w:r>
                    <w:rPr>
                      <w:spacing w:val="-4"/>
                    </w:rPr>
                    <w:t> </w:t>
                  </w:r>
                  <w:r>
                    <w:rPr/>
                    <w:t>sector.</w:t>
                  </w:r>
                </w:p>
                <w:p>
                  <w:pPr>
                    <w:pStyle w:val="BodyText"/>
                    <w:spacing w:before="4"/>
                    <w:rPr>
                      <w:rFonts w:ascii="Garamond"/>
                      <w:i/>
                      <w:sz w:val="21"/>
                    </w:rPr>
                  </w:pPr>
                </w:p>
                <w:p>
                  <w:pPr>
                    <w:spacing w:before="0"/>
                    <w:ind w:left="231" w:right="0" w:firstLine="0"/>
                    <w:jc w:val="left"/>
                    <w:rPr>
                      <w:i/>
                      <w:sz w:val="20"/>
                    </w:rPr>
                  </w:pPr>
                  <w:r>
                    <w:rPr>
                      <w:sz w:val="20"/>
                    </w:rPr>
                    <w:t>I confirm the Annual Report complies with section 85 of the </w:t>
                  </w:r>
                  <w:r>
                    <w:rPr>
                      <w:i/>
                      <w:sz w:val="20"/>
                    </w:rPr>
                    <w:t>Integrity Act 2009.</w:t>
                  </w:r>
                </w:p>
                <w:p>
                  <w:pPr>
                    <w:pStyle w:val="BodyText"/>
                    <w:spacing w:before="7"/>
                    <w:rPr>
                      <w:rFonts w:ascii="Garamond"/>
                      <w:i/>
                      <w:sz w:val="24"/>
                    </w:rPr>
                  </w:pPr>
                </w:p>
                <w:p>
                  <w:pPr>
                    <w:pStyle w:val="BodyText"/>
                    <w:spacing w:line="276" w:lineRule="auto" w:before="1"/>
                    <w:ind w:left="231"/>
                  </w:pPr>
                  <w:r>
                    <w:rPr/>
                    <w:t>I also confirm the Annual Report is in general terms and does not contain information likely to identify advisees.</w:t>
                  </w:r>
                </w:p>
                <w:p>
                  <w:pPr>
                    <w:pStyle w:val="BodyText"/>
                    <w:spacing w:before="3"/>
                    <w:rPr>
                      <w:rFonts w:ascii="Garamond"/>
                      <w:i/>
                      <w:sz w:val="21"/>
                    </w:rPr>
                  </w:pPr>
                </w:p>
                <w:p>
                  <w:pPr>
                    <w:pStyle w:val="BodyText"/>
                    <w:ind w:left="231"/>
                  </w:pPr>
                  <w:r>
                    <w:rPr/>
                    <w:t>Yours sincerely</w:t>
                  </w:r>
                </w:p>
                <w:p>
                  <w:pPr>
                    <w:pStyle w:val="BodyText"/>
                    <w:rPr>
                      <w:rFonts w:ascii="Garamond"/>
                      <w:i/>
                    </w:rPr>
                  </w:pPr>
                </w:p>
                <w:p>
                  <w:pPr>
                    <w:pStyle w:val="BodyText"/>
                    <w:rPr>
                      <w:rFonts w:ascii="Garamond"/>
                      <w:i/>
                    </w:rPr>
                  </w:pPr>
                </w:p>
                <w:p>
                  <w:pPr>
                    <w:pStyle w:val="BodyText"/>
                    <w:rPr>
                      <w:rFonts w:ascii="Garamond"/>
                      <w:i/>
                    </w:rPr>
                  </w:pPr>
                </w:p>
                <w:p>
                  <w:pPr>
                    <w:pStyle w:val="BodyText"/>
                    <w:spacing w:before="3"/>
                    <w:rPr>
                      <w:rFonts w:ascii="Garamond"/>
                      <w:i/>
                      <w:sz w:val="16"/>
                    </w:rPr>
                  </w:pPr>
                </w:p>
                <w:p>
                  <w:pPr>
                    <w:spacing w:line="276" w:lineRule="auto" w:before="0"/>
                    <w:ind w:left="231" w:right="4935" w:firstLine="0"/>
                    <w:jc w:val="left"/>
                    <w:rPr>
                      <w:sz w:val="20"/>
                    </w:rPr>
                  </w:pPr>
                  <w:r>
                    <w:rPr>
                      <w:sz w:val="20"/>
                    </w:rPr>
                    <w:t>Dr Nikola Stepanov PhD (Melb.) </w:t>
                  </w:r>
                  <w:r>
                    <w:rPr>
                      <w:b/>
                      <w:sz w:val="20"/>
                    </w:rPr>
                    <w:t>Queensland Integrity Commissioner </w:t>
                  </w:r>
                  <w:r>
                    <w:rPr>
                      <w:sz w:val="20"/>
                    </w:rPr>
                    <w:t>27 September 2019</w:t>
                  </w:r>
                </w:p>
              </w:txbxContent>
            </v:textbox>
            <v:stroke dashstyle="solid"/>
          </v:shape>
        </w:pict>
      </w:r>
      <w:r>
        <w:rPr>
          <w:rFonts w:ascii="Garamond"/>
          <w:position w:val="0"/>
        </w:rPr>
      </w:r>
    </w:p>
    <w:p>
      <w:pPr>
        <w:spacing w:after="0"/>
        <w:rPr>
          <w:rFonts w:ascii="Garamond"/>
        </w:rPr>
        <w:sectPr>
          <w:footerReference w:type="default" r:id="rId7"/>
          <w:pgSz w:w="16840" w:h="11910" w:orient="landscape"/>
          <w:pgMar w:footer="310" w:header="0" w:top="840" w:bottom="500" w:left="540" w:right="260"/>
          <w:pgNumType w:start="2"/>
        </w:sectPr>
      </w:pPr>
    </w:p>
    <w:p>
      <w:pPr>
        <w:pStyle w:val="BodyText"/>
        <w:rPr>
          <w:rFonts w:ascii="Garamond"/>
          <w:i/>
        </w:rPr>
      </w:pPr>
    </w:p>
    <w:p>
      <w:pPr>
        <w:pStyle w:val="BodyText"/>
        <w:spacing w:before="9"/>
        <w:rPr>
          <w:rFonts w:ascii="Garamond"/>
          <w:i/>
          <w:sz w:val="19"/>
        </w:rPr>
      </w:pPr>
    </w:p>
    <w:p>
      <w:pPr>
        <w:pStyle w:val="Heading2"/>
        <w:spacing w:before="100"/>
        <w:ind w:left="2707"/>
      </w:pPr>
      <w:r>
        <w:rPr>
          <w:color w:val="2CB99D"/>
          <w:sz w:val="32"/>
        </w:rPr>
        <w:t>W</w:t>
      </w:r>
      <w:r>
        <w:rPr>
          <w:color w:val="2CB99D"/>
        </w:rPr>
        <w:t>ELCOME</w:t>
      </w:r>
    </w:p>
    <w:p>
      <w:pPr>
        <w:pStyle w:val="BodyText"/>
        <w:spacing w:line="276" w:lineRule="auto" w:before="93"/>
        <w:ind w:left="2707" w:right="3261"/>
      </w:pPr>
      <w:r>
        <w:rPr/>
        <w:t>This Annual Report covers the 2018–2019 financial year, and draws to a close my second year as the Queensland Integrity Commissioner.</w:t>
      </w:r>
    </w:p>
    <w:p>
      <w:pPr>
        <w:pStyle w:val="BodyText"/>
        <w:spacing w:before="120"/>
        <w:ind w:left="2707"/>
      </w:pPr>
      <w:r>
        <w:rPr/>
        <w:t>2018–2019 was another year of unprecedented demand for advice on ethics and integrity issues. We received 394 enquiries</w:t>
      </w:r>
    </w:p>
    <w:p>
      <w:pPr>
        <w:pStyle w:val="BodyText"/>
        <w:spacing w:before="37"/>
        <w:ind w:left="2707"/>
      </w:pPr>
      <w:r>
        <w:rPr/>
        <w:t>and requests, of which 274 required a formal written advice.</w:t>
      </w:r>
    </w:p>
    <w:p>
      <w:pPr>
        <w:pStyle w:val="BodyText"/>
        <w:spacing w:before="157"/>
        <w:ind w:left="2707"/>
      </w:pPr>
      <w:r>
        <w:rPr/>
        <w:t>This built upon the demand in the 2017–2018 financial year, where I experienced a four-fold increase in the number of</w:t>
      </w:r>
    </w:p>
    <w:p>
      <w:pPr>
        <w:pStyle w:val="BodyText"/>
        <w:spacing w:line="276" w:lineRule="auto" w:before="37"/>
        <w:ind w:left="2707" w:right="3261"/>
      </w:pPr>
      <w:r>
        <w:rPr/>
        <w:t>requests for advice. Requests for advice in 2017–2018 rose to 216 requests compared to an average of 40 requests per year since the inception of the Integrity Commissioner.</w:t>
      </w:r>
    </w:p>
    <w:p>
      <w:pPr>
        <w:pStyle w:val="BodyText"/>
        <w:spacing w:line="273" w:lineRule="auto" w:before="120"/>
        <w:ind w:left="2707" w:right="3261"/>
      </w:pPr>
      <w:r>
        <w:rPr/>
        <w:t>The continued increase in demand for advice suggests that users value this unique advisory service I provide and it is indicative of an ongoing commitment to ethics and integrity by those with public responsibilities.</w:t>
      </w:r>
    </w:p>
    <w:p>
      <w:pPr>
        <w:pStyle w:val="BodyText"/>
        <w:spacing w:before="123"/>
        <w:ind w:left="2707"/>
      </w:pPr>
      <w:r>
        <w:rPr/>
        <w:t>I continue to be deeply committed to raising public awareness of ethics and integrity issues, including among public office</w:t>
      </w:r>
    </w:p>
    <w:p>
      <w:pPr>
        <w:pStyle w:val="BodyText"/>
        <w:spacing w:line="276" w:lineRule="auto" w:before="36"/>
        <w:ind w:left="2707" w:right="2434"/>
      </w:pPr>
      <w:r>
        <w:rPr/>
        <w:t>holders and public servants. However, I acknowledge that the heightened demand for advice, and the fact that I am unable to delegate the formal advice function, limits my ability to conduct as many workshops and training sessions as I would prefer.</w:t>
      </w:r>
    </w:p>
    <w:p>
      <w:pPr>
        <w:pStyle w:val="BodyText"/>
        <w:spacing w:line="276" w:lineRule="auto" w:before="121"/>
        <w:ind w:left="2707" w:right="3146"/>
      </w:pPr>
      <w:r>
        <w:rPr/>
        <w:t>Certainly, I remain encouraged by the number of designated persons seeking advice on complex ethical and integrity issues. In my view it indicates a commitment to maintaining public confidence in government decision-making, and I am excited about ongoing work and engagements with our collaborative partners.</w:t>
      </w:r>
    </w:p>
    <w:p>
      <w:pPr>
        <w:spacing w:before="120"/>
        <w:ind w:left="0" w:right="3073" w:firstLine="0"/>
        <w:jc w:val="right"/>
        <w:rPr>
          <w:i/>
          <w:sz w:val="20"/>
        </w:rPr>
      </w:pPr>
      <w:r>
        <w:rPr>
          <w:sz w:val="20"/>
        </w:rPr>
        <w:t>– </w:t>
      </w:r>
      <w:r>
        <w:rPr>
          <w:i/>
          <w:sz w:val="20"/>
        </w:rPr>
        <w:t>Dr Nikola Stepanov</w:t>
      </w:r>
    </w:p>
    <w:p>
      <w:pPr>
        <w:pStyle w:val="BodyText"/>
        <w:rPr>
          <w:i/>
        </w:rPr>
      </w:pPr>
    </w:p>
    <w:p>
      <w:pPr>
        <w:pStyle w:val="BodyText"/>
        <w:rPr>
          <w:i/>
        </w:rPr>
      </w:pPr>
    </w:p>
    <w:p>
      <w:pPr>
        <w:pStyle w:val="BodyText"/>
        <w:rPr>
          <w:i/>
        </w:rPr>
      </w:pPr>
    </w:p>
    <w:p>
      <w:pPr>
        <w:pStyle w:val="BodyText"/>
        <w:spacing w:before="7"/>
        <w:rPr>
          <w:i/>
          <w:sz w:val="29"/>
        </w:rPr>
      </w:pPr>
    </w:p>
    <w:p>
      <w:pPr>
        <w:spacing w:after="0"/>
        <w:rPr>
          <w:sz w:val="29"/>
        </w:rPr>
        <w:sectPr>
          <w:pgSz w:w="16840" w:h="11910" w:orient="landscape"/>
          <w:pgMar w:header="0" w:footer="310" w:top="1100" w:bottom="540" w:left="540" w:right="260"/>
        </w:sectPr>
      </w:pPr>
    </w:p>
    <w:p>
      <w:pPr>
        <w:pStyle w:val="Heading2"/>
        <w:spacing w:before="99"/>
        <w:ind w:left="2703" w:right="3283"/>
        <w:jc w:val="center"/>
      </w:pPr>
      <w:r>
        <w:rPr/>
        <w:pict>
          <v:group style="position:absolute;margin-left:35.955002pt;margin-top:35.316006pt;width:765.5pt;height:523.9500pt;mso-position-horizontal-relative:page;mso-position-vertical-relative:page;z-index:-34744" coordorigin="719,706" coordsize="15310,10479">
            <v:shape style="position:absolute;left:719;top:706;width:15310;height:10479" type="#_x0000_t75" stroked="false">
              <v:imagedata r:id="rId11" o:title=""/>
            </v:shape>
            <v:shape style="position:absolute;left:3104;top:1375;width:10540;height:9141" coordorigin="3104,1375" coordsize="10540,9141" path="m13644,8204l8358,8204,3104,8204,3104,10516,8358,10516,13644,10516,13644,8204m13644,1375l3104,1375,3104,7600,13644,7600,13644,1375e" filled="true" fillcolor="#ffffff" stroked="false">
              <v:path arrowok="t"/>
              <v:fill opacity="58853f" type="solid"/>
            </v:shape>
            <w10:wrap type="none"/>
          </v:group>
        </w:pict>
      </w:r>
      <w:r>
        <w:rPr>
          <w:color w:val="2CB99D"/>
          <w:sz w:val="32"/>
        </w:rPr>
        <w:t>C</w:t>
      </w:r>
      <w:r>
        <w:rPr>
          <w:color w:val="2CB99D"/>
        </w:rPr>
        <w:t>ONTENTS</w:t>
      </w:r>
    </w:p>
    <w:p>
      <w:pPr>
        <w:pStyle w:val="BodyText"/>
        <w:tabs>
          <w:tab w:pos="6641" w:val="left" w:leader="dot"/>
        </w:tabs>
        <w:spacing w:before="94"/>
        <w:ind w:left="2707"/>
      </w:pPr>
      <w:r>
        <w:rPr>
          <w:b/>
        </w:rPr>
        <w:t>4</w:t>
        <w:tab/>
      </w:r>
      <w:r>
        <w:rPr/>
        <w:t>About</w:t>
      </w:r>
      <w:r>
        <w:rPr>
          <w:spacing w:val="-1"/>
        </w:rPr>
        <w:t> </w:t>
      </w:r>
      <w:r>
        <w:rPr>
          <w:spacing w:val="-14"/>
        </w:rPr>
        <w:t>Us</w:t>
      </w:r>
    </w:p>
    <w:p>
      <w:pPr>
        <w:pStyle w:val="BodyText"/>
        <w:tabs>
          <w:tab w:pos="5554" w:val="left" w:leader="dot"/>
        </w:tabs>
        <w:spacing w:before="118"/>
        <w:ind w:left="2707"/>
      </w:pPr>
      <w:r>
        <w:rPr>
          <w:b/>
        </w:rPr>
        <w:t>5</w:t>
        <w:tab/>
      </w:r>
      <w:r>
        <w:rPr/>
        <w:t>2018–2019</w:t>
      </w:r>
      <w:r>
        <w:rPr>
          <w:spacing w:val="-14"/>
        </w:rPr>
        <w:t> </w:t>
      </w:r>
      <w:r>
        <w:rPr/>
        <w:t>Dashboard</w:t>
      </w:r>
    </w:p>
    <w:p>
      <w:pPr>
        <w:pStyle w:val="ListParagraph"/>
        <w:numPr>
          <w:ilvl w:val="0"/>
          <w:numId w:val="1"/>
        </w:numPr>
        <w:tabs>
          <w:tab w:pos="2810" w:val="left" w:leader="none"/>
          <w:tab w:pos="5326" w:val="left" w:leader="dot"/>
        </w:tabs>
        <w:spacing w:line="240" w:lineRule="auto" w:before="120" w:after="0"/>
        <w:ind w:left="2809" w:right="0" w:hanging="102"/>
        <w:jc w:val="left"/>
        <w:rPr>
          <w:sz w:val="20"/>
        </w:rPr>
      </w:pPr>
      <w:r>
        <w:rPr>
          <w:sz w:val="20"/>
        </w:rPr>
        <w:t>Strategic Plan 2019–2022</w:t>
      </w:r>
    </w:p>
    <w:p>
      <w:pPr>
        <w:pStyle w:val="ListParagraph"/>
        <w:numPr>
          <w:ilvl w:val="0"/>
          <w:numId w:val="1"/>
        </w:numPr>
        <w:tabs>
          <w:tab w:pos="2810" w:val="left" w:leader="none"/>
          <w:tab w:pos="5950" w:val="left" w:leader="dot"/>
        </w:tabs>
        <w:spacing w:line="240" w:lineRule="auto" w:before="121" w:after="0"/>
        <w:ind w:left="2809" w:right="0" w:hanging="102"/>
        <w:jc w:val="left"/>
        <w:rPr>
          <w:sz w:val="20"/>
        </w:rPr>
      </w:pPr>
      <w:r>
        <w:rPr>
          <w:sz w:val="20"/>
        </w:rPr>
        <w:t>Integrity</w:t>
      </w:r>
      <w:r>
        <w:rPr>
          <w:spacing w:val="1"/>
          <w:sz w:val="20"/>
        </w:rPr>
        <w:t> </w:t>
      </w:r>
      <w:r>
        <w:rPr>
          <w:spacing w:val="-4"/>
          <w:sz w:val="20"/>
        </w:rPr>
        <w:t>Function</w:t>
      </w:r>
    </w:p>
    <w:p>
      <w:pPr>
        <w:pStyle w:val="BodyText"/>
        <w:rPr>
          <w:sz w:val="22"/>
        </w:rPr>
      </w:pPr>
      <w:r>
        <w:rPr/>
        <w:br w:type="column"/>
      </w:r>
      <w:r>
        <w:rPr>
          <w:sz w:val="22"/>
        </w:rPr>
      </w:r>
    </w:p>
    <w:p>
      <w:pPr>
        <w:pStyle w:val="BodyText"/>
        <w:spacing w:before="11"/>
        <w:rPr>
          <w:sz w:val="24"/>
        </w:rPr>
      </w:pPr>
    </w:p>
    <w:p>
      <w:pPr>
        <w:pStyle w:val="ListParagraph"/>
        <w:numPr>
          <w:ilvl w:val="0"/>
          <w:numId w:val="1"/>
        </w:numPr>
        <w:tabs>
          <w:tab w:pos="948" w:val="left" w:leader="none"/>
          <w:tab w:pos="4015" w:val="left" w:leader="dot"/>
        </w:tabs>
        <w:spacing w:line="240" w:lineRule="auto" w:before="1" w:after="0"/>
        <w:ind w:left="947" w:right="0" w:hanging="102"/>
        <w:jc w:val="left"/>
        <w:rPr>
          <w:sz w:val="20"/>
        </w:rPr>
      </w:pPr>
      <w:r>
        <w:rPr>
          <w:sz w:val="20"/>
        </w:rPr>
        <w:t>Lobbyists</w:t>
      </w:r>
      <w:r>
        <w:rPr>
          <w:spacing w:val="-2"/>
          <w:sz w:val="20"/>
        </w:rPr>
        <w:t> </w:t>
      </w:r>
      <w:r>
        <w:rPr>
          <w:sz w:val="20"/>
        </w:rPr>
        <w:t>Function</w:t>
      </w:r>
    </w:p>
    <w:p>
      <w:pPr>
        <w:pStyle w:val="ListParagraph"/>
        <w:numPr>
          <w:ilvl w:val="0"/>
          <w:numId w:val="1"/>
        </w:numPr>
        <w:tabs>
          <w:tab w:pos="948" w:val="left" w:leader="none"/>
          <w:tab w:pos="3355" w:val="left" w:leader="dot"/>
        </w:tabs>
        <w:spacing w:line="240" w:lineRule="auto" w:before="120" w:after="0"/>
        <w:ind w:left="947" w:right="0" w:hanging="102"/>
        <w:jc w:val="left"/>
        <w:rPr>
          <w:sz w:val="20"/>
        </w:rPr>
      </w:pPr>
      <w:r>
        <w:rPr>
          <w:sz w:val="20"/>
        </w:rPr>
        <w:t>Public Awareness</w:t>
      </w:r>
      <w:r>
        <w:rPr>
          <w:spacing w:val="-4"/>
          <w:sz w:val="20"/>
        </w:rPr>
        <w:t> </w:t>
      </w:r>
      <w:r>
        <w:rPr>
          <w:sz w:val="20"/>
        </w:rPr>
        <w:t>Function</w:t>
      </w:r>
    </w:p>
    <w:p>
      <w:pPr>
        <w:pStyle w:val="ListParagraph"/>
        <w:numPr>
          <w:ilvl w:val="0"/>
          <w:numId w:val="1"/>
        </w:numPr>
        <w:tabs>
          <w:tab w:pos="1048" w:val="left" w:leader="none"/>
          <w:tab w:pos="3617" w:val="left" w:leader="dot"/>
        </w:tabs>
        <w:spacing w:line="240" w:lineRule="auto" w:before="119" w:after="0"/>
        <w:ind w:left="1047" w:right="0" w:hanging="202"/>
        <w:jc w:val="left"/>
        <w:rPr>
          <w:sz w:val="20"/>
        </w:rPr>
      </w:pPr>
      <w:r>
        <w:rPr>
          <w:sz w:val="20"/>
        </w:rPr>
        <w:t>Compliance Disclosures</w:t>
      </w:r>
    </w:p>
    <w:p>
      <w:pPr>
        <w:pStyle w:val="ListParagraph"/>
        <w:numPr>
          <w:ilvl w:val="0"/>
          <w:numId w:val="1"/>
        </w:numPr>
        <w:tabs>
          <w:tab w:pos="1048" w:val="left" w:leader="none"/>
          <w:tab w:pos="4090" w:val="left" w:leader="dot"/>
        </w:tabs>
        <w:spacing w:line="240" w:lineRule="auto" w:before="120" w:after="0"/>
        <w:ind w:left="1047" w:right="0" w:hanging="202"/>
        <w:jc w:val="left"/>
        <w:rPr>
          <w:sz w:val="20"/>
        </w:rPr>
      </w:pPr>
      <w:r>
        <w:rPr>
          <w:sz w:val="20"/>
        </w:rPr>
        <w:t>About this</w:t>
      </w:r>
      <w:r>
        <w:rPr>
          <w:spacing w:val="-3"/>
          <w:sz w:val="20"/>
        </w:rPr>
        <w:t> </w:t>
      </w:r>
      <w:r>
        <w:rPr>
          <w:sz w:val="20"/>
        </w:rPr>
        <w:t>Report</w:t>
      </w:r>
    </w:p>
    <w:p>
      <w:pPr>
        <w:spacing w:after="0" w:line="240" w:lineRule="auto"/>
        <w:jc w:val="left"/>
        <w:rPr>
          <w:sz w:val="20"/>
        </w:rPr>
        <w:sectPr>
          <w:type w:val="continuous"/>
          <w:pgSz w:w="16840" w:h="11910" w:orient="landscape"/>
          <w:pgMar w:top="960" w:bottom="280" w:left="540" w:right="260"/>
          <w:cols w:num="2" w:equalWidth="0">
            <w:col w:w="7391" w:space="40"/>
            <w:col w:w="8609"/>
          </w:cols>
        </w:sectPr>
      </w:pPr>
    </w:p>
    <w:p>
      <w:pPr>
        <w:spacing w:before="92"/>
        <w:ind w:left="321" w:right="0" w:firstLine="0"/>
        <w:jc w:val="left"/>
        <w:rPr>
          <w:rFonts w:ascii="Gill Sans MT"/>
          <w:sz w:val="25"/>
        </w:rPr>
      </w:pPr>
      <w:r>
        <w:rPr/>
        <w:pict>
          <v:group style="position:absolute;margin-left:604.369995pt;margin-top:35.970009pt;width:201.5pt;height:503.15pt;mso-position-horizontal-relative:page;mso-position-vertical-relative:page;z-index:1144" coordorigin="12087,719" coordsize="4030,10063">
            <v:shape style="position:absolute;left:12087;top:719;width:4030;height:10063" coordorigin="12087,719" coordsize="4030,10063" path="m15445,719l12759,719,12686,723,12615,735,12547,754,12482,779,12420,811,12362,849,12309,892,12260,941,12217,994,12179,1052,12147,1114,12122,1179,12103,1247,12091,1318,12087,1391,12087,10111,12091,10184,12103,10255,12122,10323,12147,10388,12179,10450,12217,10507,12260,10561,12309,10609,12362,10653,12420,10690,12482,10722,12547,10748,12615,10767,12686,10778,12759,10782,15445,10782,15518,10778,15589,10767,15657,10748,15722,10722,15784,10690,15842,10653,15895,10609,15944,10561,15987,10507,16025,10450,16057,10388,16082,10323,16101,10255,16113,10184,16117,10111,16117,1391,16113,1318,16101,1247,16082,1179,16057,1114,16025,1052,15987,994,15944,941,15895,892,15842,849,15784,811,15722,779,15657,754,15589,735,15518,723,15445,719xe" filled="true" fillcolor="#d4f1eb" stroked="false">
              <v:path arrowok="t"/>
              <v:fill opacity="49087f" type="solid"/>
            </v:shape>
            <v:shape style="position:absolute;left:13709;top:1633;width:2172;height:2117" type="#_x0000_t75" stroked="false">
              <v:imagedata r:id="rId12" o:title=""/>
            </v:shape>
            <v:shape style="position:absolute;left:12087;top:719;width:4030;height:10063" type="#_x0000_t202" filled="false" stroked="false">
              <v:textbox inset="0,0,0,0">
                <w:txbxContent>
                  <w:p>
                    <w:pPr>
                      <w:spacing w:line="240" w:lineRule="auto" w:before="9"/>
                      <w:rPr>
                        <w:sz w:val="27"/>
                      </w:rPr>
                    </w:pPr>
                  </w:p>
                  <w:p>
                    <w:pPr>
                      <w:spacing w:before="0"/>
                      <w:ind w:left="254" w:right="0" w:firstLine="0"/>
                      <w:jc w:val="left"/>
                      <w:rPr>
                        <w:rFonts w:ascii="Gill Sans MT"/>
                        <w:sz w:val="17"/>
                      </w:rPr>
                    </w:pPr>
                    <w:r>
                      <w:rPr>
                        <w:rFonts w:ascii="Gill Sans MT"/>
                        <w:color w:val="FF6621"/>
                        <w:w w:val="105"/>
                        <w:sz w:val="22"/>
                      </w:rPr>
                      <w:t>M</w:t>
                    </w:r>
                    <w:r>
                      <w:rPr>
                        <w:rFonts w:ascii="Gill Sans MT"/>
                        <w:color w:val="FF6621"/>
                        <w:w w:val="105"/>
                        <w:sz w:val="17"/>
                      </w:rPr>
                      <w:t>ESSAGE FROM THE </w:t>
                    </w:r>
                    <w:r>
                      <w:rPr>
                        <w:rFonts w:ascii="Gill Sans MT"/>
                        <w:color w:val="FF6621"/>
                        <w:w w:val="105"/>
                        <w:sz w:val="22"/>
                      </w:rPr>
                      <w:t>D</w:t>
                    </w:r>
                    <w:r>
                      <w:rPr>
                        <w:rFonts w:ascii="Gill Sans MT"/>
                        <w:color w:val="FF6621"/>
                        <w:w w:val="105"/>
                        <w:sz w:val="17"/>
                      </w:rPr>
                      <w:t>IRECTOR</w:t>
                    </w:r>
                  </w:p>
                  <w:p>
                    <w:pPr>
                      <w:spacing w:line="276" w:lineRule="auto" w:before="133"/>
                      <w:ind w:left="254" w:right="2552" w:firstLine="0"/>
                      <w:jc w:val="left"/>
                      <w:rPr>
                        <w:sz w:val="20"/>
                      </w:rPr>
                    </w:pPr>
                    <w:r>
                      <w:rPr>
                        <w:sz w:val="20"/>
                      </w:rPr>
                      <w:t>The number of advices</w:t>
                    </w:r>
                  </w:p>
                  <w:p>
                    <w:pPr>
                      <w:spacing w:line="276" w:lineRule="auto" w:before="0"/>
                      <w:ind w:left="254" w:right="2749" w:firstLine="0"/>
                      <w:jc w:val="left"/>
                      <w:rPr>
                        <w:sz w:val="20"/>
                      </w:rPr>
                    </w:pPr>
                    <w:r>
                      <w:rPr>
                        <w:sz w:val="20"/>
                      </w:rPr>
                      <w:t>provided by the Integrity</w:t>
                    </w:r>
                  </w:p>
                  <w:p>
                    <w:pPr>
                      <w:spacing w:line="276" w:lineRule="auto" w:before="1"/>
                      <w:ind w:left="254" w:right="2552" w:firstLine="0"/>
                      <w:jc w:val="left"/>
                      <w:rPr>
                        <w:sz w:val="20"/>
                      </w:rPr>
                    </w:pPr>
                    <w:r>
                      <w:rPr>
                        <w:w w:val="95"/>
                        <w:sz w:val="20"/>
                      </w:rPr>
                      <w:t>Commissioner </w:t>
                    </w:r>
                    <w:r>
                      <w:rPr>
                        <w:sz w:val="20"/>
                      </w:rPr>
                      <w:t>during the</w:t>
                    </w:r>
                  </w:p>
                  <w:p>
                    <w:pPr>
                      <w:spacing w:line="276" w:lineRule="auto" w:before="0"/>
                      <w:ind w:left="254" w:right="2584" w:firstLine="0"/>
                      <w:jc w:val="both"/>
                      <w:rPr>
                        <w:sz w:val="20"/>
                      </w:rPr>
                    </w:pPr>
                    <w:r>
                      <w:rPr>
                        <w:sz w:val="20"/>
                      </w:rPr>
                      <w:t>2019 financial year was at an historical high.</w:t>
                    </w:r>
                  </w:p>
                  <w:p>
                    <w:pPr>
                      <w:spacing w:line="276" w:lineRule="auto" w:before="120"/>
                      <w:ind w:left="254" w:right="283" w:firstLine="0"/>
                      <w:jc w:val="left"/>
                      <w:rPr>
                        <w:sz w:val="20"/>
                      </w:rPr>
                    </w:pPr>
                    <w:r>
                      <w:rPr>
                        <w:sz w:val="20"/>
                      </w:rPr>
                      <w:t>In April 2019, amendments to the </w:t>
                    </w:r>
                    <w:r>
                      <w:rPr>
                        <w:i/>
                        <w:sz w:val="20"/>
                      </w:rPr>
                      <w:t>Integrity </w:t>
                    </w:r>
                    <w:r>
                      <w:rPr>
                        <w:i/>
                        <w:sz w:val="20"/>
                      </w:rPr>
                      <w:t>Act 2009 </w:t>
                    </w:r>
                    <w:r>
                      <w:rPr>
                        <w:sz w:val="20"/>
                      </w:rPr>
                      <w:t>also increased the range of</w:t>
                    </w:r>
                  </w:p>
                  <w:p>
                    <w:pPr>
                      <w:spacing w:line="276" w:lineRule="auto" w:before="0"/>
                      <w:ind w:left="254" w:right="454" w:firstLine="0"/>
                      <w:jc w:val="left"/>
                      <w:rPr>
                        <w:sz w:val="20"/>
                      </w:rPr>
                    </w:pPr>
                    <w:r>
                      <w:rPr>
                        <w:sz w:val="20"/>
                      </w:rPr>
                      <w:t>‘designated persons’ who could seek the Integrity Commissioner’s advice.</w:t>
                    </w:r>
                  </w:p>
                  <w:p>
                    <w:pPr>
                      <w:spacing w:line="276" w:lineRule="auto" w:before="120"/>
                      <w:ind w:left="254" w:right="0" w:firstLine="0"/>
                      <w:jc w:val="left"/>
                      <w:rPr>
                        <w:sz w:val="20"/>
                      </w:rPr>
                    </w:pPr>
                    <w:r>
                      <w:rPr>
                        <w:sz w:val="20"/>
                      </w:rPr>
                      <w:t>Former designated persons can now seek advice with respect to post separation obligations. These include restrictions on meeting government representatives</w:t>
                    </w:r>
                  </w:p>
                  <w:p>
                    <w:pPr>
                      <w:spacing w:line="276" w:lineRule="auto" w:before="1"/>
                      <w:ind w:left="254" w:right="0" w:firstLine="0"/>
                      <w:jc w:val="left"/>
                      <w:rPr>
                        <w:sz w:val="20"/>
                      </w:rPr>
                    </w:pPr>
                    <w:r>
                      <w:rPr>
                        <w:sz w:val="20"/>
                      </w:rPr>
                      <w:t>during post separation quarantine periods, ranging from two years to 18 months.</w:t>
                    </w:r>
                  </w:p>
                  <w:p>
                    <w:pPr>
                      <w:spacing w:line="276" w:lineRule="auto" w:before="120"/>
                      <w:ind w:left="254" w:right="283" w:firstLine="0"/>
                      <w:jc w:val="left"/>
                      <w:rPr>
                        <w:sz w:val="20"/>
                      </w:rPr>
                    </w:pPr>
                    <w:r>
                      <w:rPr>
                        <w:sz w:val="20"/>
                      </w:rPr>
                      <w:t>Senior executive and senior officers may also now seek the Integrity</w:t>
                    </w:r>
                  </w:p>
                  <w:p>
                    <w:pPr>
                      <w:spacing w:before="0"/>
                      <w:ind w:left="254" w:right="0" w:firstLine="0"/>
                      <w:jc w:val="left"/>
                      <w:rPr>
                        <w:sz w:val="20"/>
                      </w:rPr>
                    </w:pPr>
                    <w:r>
                      <w:rPr>
                        <w:sz w:val="20"/>
                      </w:rPr>
                      <w:t>Commissioner’s advice without first</w:t>
                    </w:r>
                  </w:p>
                  <w:p>
                    <w:pPr>
                      <w:spacing w:before="37"/>
                      <w:ind w:left="254" w:right="0" w:firstLine="0"/>
                      <w:jc w:val="left"/>
                      <w:rPr>
                        <w:sz w:val="20"/>
                      </w:rPr>
                    </w:pPr>
                    <w:r>
                      <w:rPr>
                        <w:sz w:val="20"/>
                      </w:rPr>
                      <w:t>obtaining their chief executive’s approval.</w:t>
                    </w:r>
                  </w:p>
                  <w:p>
                    <w:pPr>
                      <w:spacing w:line="276" w:lineRule="auto" w:before="157"/>
                      <w:ind w:left="254" w:right="28" w:firstLine="0"/>
                      <w:jc w:val="left"/>
                      <w:rPr>
                        <w:sz w:val="20"/>
                      </w:rPr>
                    </w:pPr>
                    <w:r>
                      <w:rPr>
                        <w:sz w:val="20"/>
                      </w:rPr>
                      <w:t>To help meet increased demand, the office has enhanced its website, and published various guides and case studies on</w:t>
                    </w:r>
                  </w:p>
                  <w:p>
                    <w:pPr>
                      <w:spacing w:line="276" w:lineRule="auto" w:before="0"/>
                      <w:ind w:left="254" w:right="463" w:firstLine="0"/>
                      <w:jc w:val="left"/>
                      <w:rPr>
                        <w:sz w:val="20"/>
                      </w:rPr>
                    </w:pPr>
                    <w:r>
                      <w:rPr>
                        <w:sz w:val="20"/>
                      </w:rPr>
                      <w:t>common fact scenarios. These resources will continue to expand as we explore additional ways to meet demand.</w:t>
                    </w:r>
                  </w:p>
                  <w:p>
                    <w:pPr>
                      <w:spacing w:before="120"/>
                      <w:ind w:left="2079" w:right="0" w:firstLine="0"/>
                      <w:jc w:val="left"/>
                      <w:rPr>
                        <w:i/>
                        <w:sz w:val="20"/>
                      </w:rPr>
                    </w:pPr>
                    <w:r>
                      <w:rPr>
                        <w:sz w:val="20"/>
                      </w:rPr>
                      <w:t>– </w:t>
                    </w:r>
                    <w:r>
                      <w:rPr>
                        <w:i/>
                        <w:sz w:val="20"/>
                      </w:rPr>
                      <w:t>Mr Michael Vickers</w:t>
                    </w:r>
                  </w:p>
                </w:txbxContent>
              </v:textbox>
              <w10:wrap type="none"/>
            </v:shape>
            <w10:wrap type="none"/>
          </v:group>
        </w:pict>
      </w:r>
      <w:r>
        <w:rPr/>
        <w:drawing>
          <wp:anchor distT="0" distB="0" distL="0" distR="0" allowOverlap="1" layoutInCell="1" locked="0" behindDoc="1" simplePos="0" relativeHeight="268400783">
            <wp:simplePos x="0" y="0"/>
            <wp:positionH relativeFrom="page">
              <wp:posOffset>2168398</wp:posOffset>
            </wp:positionH>
            <wp:positionV relativeFrom="paragraph">
              <wp:posOffset>79466</wp:posOffset>
            </wp:positionV>
            <wp:extent cx="3347847" cy="3367151"/>
            <wp:effectExtent l="0" t="0" r="0" b="0"/>
            <wp:wrapNone/>
            <wp:docPr id="1" name="image8.png" descr=""/>
            <wp:cNvGraphicFramePr>
              <a:graphicFrameLocks noChangeAspect="1"/>
            </wp:cNvGraphicFramePr>
            <a:graphic>
              <a:graphicData uri="http://schemas.openxmlformats.org/drawingml/2006/picture">
                <pic:pic>
                  <pic:nvPicPr>
                    <pic:cNvPr id="2" name="image8.png"/>
                    <pic:cNvPicPr/>
                  </pic:nvPicPr>
                  <pic:blipFill>
                    <a:blip r:embed="rId13" cstate="print"/>
                    <a:stretch>
                      <a:fillRect/>
                    </a:stretch>
                  </pic:blipFill>
                  <pic:spPr>
                    <a:xfrm>
                      <a:off x="0" y="0"/>
                      <a:ext cx="3347847" cy="3367151"/>
                    </a:xfrm>
                    <a:prstGeom prst="rect">
                      <a:avLst/>
                    </a:prstGeom>
                  </pic:spPr>
                </pic:pic>
              </a:graphicData>
            </a:graphic>
          </wp:anchor>
        </w:drawing>
      </w:r>
      <w:r>
        <w:rPr>
          <w:rFonts w:ascii="Gill Sans MT"/>
          <w:color w:val="2CB99D"/>
          <w:sz w:val="32"/>
        </w:rPr>
        <w:t>A</w:t>
      </w:r>
      <w:r>
        <w:rPr>
          <w:rFonts w:ascii="Gill Sans MT"/>
          <w:color w:val="2CB99D"/>
          <w:sz w:val="25"/>
        </w:rPr>
        <w:t>BOUT</w:t>
      </w:r>
      <w:r>
        <w:rPr>
          <w:rFonts w:ascii="Gill Sans MT"/>
          <w:color w:val="2CB99D"/>
          <w:spacing w:val="39"/>
          <w:sz w:val="25"/>
        </w:rPr>
        <w:t> </w:t>
      </w:r>
      <w:r>
        <w:rPr>
          <w:rFonts w:ascii="Gill Sans MT"/>
          <w:color w:val="2CB99D"/>
          <w:sz w:val="32"/>
        </w:rPr>
        <w:t>U</w:t>
      </w:r>
      <w:r>
        <w:rPr>
          <w:rFonts w:ascii="Gill Sans MT"/>
          <w:color w:val="2CB99D"/>
          <w:sz w:val="25"/>
        </w:rPr>
        <w:t>S</w:t>
      </w:r>
    </w:p>
    <w:p>
      <w:pPr>
        <w:spacing w:line="276" w:lineRule="auto" w:before="118"/>
        <w:ind w:left="321" w:right="2771" w:firstLine="0"/>
        <w:jc w:val="left"/>
        <w:rPr>
          <w:rFonts w:ascii="Gill Sans MT"/>
          <w:sz w:val="17"/>
        </w:rPr>
      </w:pPr>
      <w:r>
        <w:rPr>
          <w:rFonts w:ascii="Gill Sans MT"/>
          <w:color w:val="FF6621"/>
          <w:w w:val="105"/>
          <w:sz w:val="22"/>
        </w:rPr>
        <w:t>T</w:t>
      </w:r>
      <w:r>
        <w:rPr>
          <w:rFonts w:ascii="Gill Sans MT"/>
          <w:color w:val="FF6621"/>
          <w:w w:val="105"/>
          <w:sz w:val="17"/>
        </w:rPr>
        <w:t>HE </w:t>
      </w:r>
      <w:r>
        <w:rPr>
          <w:rFonts w:ascii="Gill Sans MT"/>
          <w:color w:val="FF6621"/>
          <w:w w:val="105"/>
          <w:sz w:val="22"/>
        </w:rPr>
        <w:t>Q</w:t>
      </w:r>
      <w:r>
        <w:rPr>
          <w:rFonts w:ascii="Gill Sans MT"/>
          <w:color w:val="FF6621"/>
          <w:w w:val="105"/>
          <w:sz w:val="17"/>
        </w:rPr>
        <w:t>UEENSLAND</w:t>
      </w:r>
      <w:r>
        <w:rPr>
          <w:rFonts w:ascii="Gill Sans MT"/>
          <w:color w:val="FF6621"/>
          <w:spacing w:val="-27"/>
          <w:w w:val="105"/>
          <w:sz w:val="17"/>
        </w:rPr>
        <w:t> </w:t>
      </w:r>
      <w:r>
        <w:rPr>
          <w:rFonts w:ascii="Gill Sans MT"/>
          <w:color w:val="FF6621"/>
          <w:w w:val="105"/>
          <w:sz w:val="22"/>
        </w:rPr>
        <w:t>I</w:t>
      </w:r>
      <w:r>
        <w:rPr>
          <w:rFonts w:ascii="Gill Sans MT"/>
          <w:color w:val="FF6621"/>
          <w:w w:val="105"/>
          <w:sz w:val="17"/>
        </w:rPr>
        <w:t>NTEGRITY </w:t>
      </w:r>
      <w:r>
        <w:rPr>
          <w:rFonts w:ascii="Gill Sans MT"/>
          <w:color w:val="FF6621"/>
          <w:w w:val="105"/>
          <w:sz w:val="22"/>
        </w:rPr>
        <w:t>C</w:t>
      </w:r>
      <w:r>
        <w:rPr>
          <w:rFonts w:ascii="Gill Sans MT"/>
          <w:color w:val="FF6621"/>
          <w:w w:val="105"/>
          <w:sz w:val="17"/>
        </w:rPr>
        <w:t>OMMISSIONER</w:t>
      </w:r>
    </w:p>
    <w:p>
      <w:pPr>
        <w:pStyle w:val="BodyText"/>
        <w:spacing w:line="276" w:lineRule="auto" w:before="95"/>
        <w:ind w:left="321" w:right="1540"/>
      </w:pPr>
      <w:r>
        <w:rPr/>
        <w:t>The role of Queensland Integrity Commissioner was initially</w:t>
      </w:r>
    </w:p>
    <w:p>
      <w:pPr>
        <w:pStyle w:val="BodyText"/>
        <w:ind w:left="321"/>
      </w:pPr>
      <w:r>
        <w:rPr/>
        <w:t>established in 1999 under the</w:t>
      </w:r>
    </w:p>
    <w:p>
      <w:pPr>
        <w:spacing w:before="36"/>
        <w:ind w:left="321" w:right="0" w:firstLine="0"/>
        <w:jc w:val="left"/>
        <w:rPr>
          <w:sz w:val="20"/>
        </w:rPr>
      </w:pPr>
      <w:r>
        <w:rPr>
          <w:i/>
          <w:sz w:val="20"/>
        </w:rPr>
        <w:t>Public Sector Ethics Act 1994</w:t>
      </w:r>
      <w:r>
        <w:rPr>
          <w:sz w:val="20"/>
        </w:rPr>
        <w:t>.</w:t>
      </w:r>
    </w:p>
    <w:p>
      <w:pPr>
        <w:spacing w:before="37"/>
        <w:ind w:left="321" w:right="0" w:firstLine="0"/>
        <w:jc w:val="left"/>
        <w:rPr>
          <w:i/>
          <w:sz w:val="20"/>
        </w:rPr>
      </w:pPr>
      <w:r>
        <w:rPr>
          <w:sz w:val="20"/>
        </w:rPr>
        <w:t>The </w:t>
      </w:r>
      <w:r>
        <w:rPr>
          <w:i/>
          <w:sz w:val="20"/>
        </w:rPr>
        <w:t>Integrity Act 2009</w:t>
      </w:r>
    </w:p>
    <w:p>
      <w:pPr>
        <w:pStyle w:val="BodyText"/>
        <w:spacing w:line="276" w:lineRule="auto" w:before="37"/>
        <w:ind w:left="321" w:right="2976"/>
        <w:rPr>
          <w:i/>
        </w:rPr>
      </w:pPr>
      <w:r>
        <w:rPr/>
        <w:t>transferred and updated the provisions of the </w:t>
      </w:r>
      <w:r>
        <w:rPr>
          <w:i/>
        </w:rPr>
        <w:t>Public</w:t>
      </w:r>
    </w:p>
    <w:p>
      <w:pPr>
        <w:spacing w:before="0"/>
        <w:ind w:left="321" w:right="0" w:firstLine="0"/>
        <w:jc w:val="left"/>
        <w:rPr>
          <w:i/>
          <w:sz w:val="20"/>
        </w:rPr>
      </w:pPr>
      <w:r>
        <w:rPr>
          <w:i/>
          <w:sz w:val="20"/>
        </w:rPr>
        <w:t>Sector Ethics Act 1994</w:t>
      </w:r>
    </w:p>
    <w:p>
      <w:pPr>
        <w:pStyle w:val="BodyText"/>
        <w:spacing w:line="276" w:lineRule="auto" w:before="37"/>
        <w:ind w:left="321" w:right="2885"/>
      </w:pPr>
      <w:r>
        <w:rPr/>
        <w:t>concerning the Integrity Commissioner, and expanded the responsibilities.</w:t>
      </w:r>
    </w:p>
    <w:p>
      <w:pPr>
        <w:pStyle w:val="BodyText"/>
        <w:spacing w:before="9"/>
        <w:rPr>
          <w:sz w:val="14"/>
        </w:rPr>
      </w:pPr>
    </w:p>
    <w:p>
      <w:pPr>
        <w:pStyle w:val="BodyText"/>
        <w:ind w:left="321"/>
      </w:pPr>
      <w:r>
        <w:rPr/>
        <w:t>Dr Nikola Stepanov was appointed by</w:t>
      </w:r>
    </w:p>
    <w:p>
      <w:pPr>
        <w:pStyle w:val="BodyText"/>
        <w:spacing w:before="37"/>
        <w:ind w:left="321"/>
      </w:pPr>
      <w:r>
        <w:rPr/>
        <w:t>the Governor in Council on 1 July 2017 as</w:t>
      </w:r>
    </w:p>
    <w:p>
      <w:pPr>
        <w:pStyle w:val="BodyText"/>
        <w:spacing w:before="37"/>
        <w:ind w:left="321"/>
      </w:pPr>
      <w:r>
        <w:rPr/>
        <w:t>Queensland’s fifth Integrity Commissioner.</w:t>
      </w:r>
    </w:p>
    <w:p>
      <w:pPr>
        <w:pStyle w:val="BodyText"/>
        <w:spacing w:line="276" w:lineRule="auto" w:before="37"/>
        <w:ind w:left="321" w:right="850"/>
      </w:pPr>
      <w:r>
        <w:rPr/>
        <w:t>Her appointment is for a three year term, which expires on 30 June 2020.</w:t>
      </w:r>
    </w:p>
    <w:p>
      <w:pPr>
        <w:pStyle w:val="BodyText"/>
        <w:spacing w:before="8"/>
        <w:rPr>
          <w:sz w:val="19"/>
        </w:rPr>
      </w:pPr>
    </w:p>
    <w:p>
      <w:pPr>
        <w:pStyle w:val="BodyText"/>
        <w:spacing w:line="276" w:lineRule="auto"/>
        <w:ind w:left="321" w:right="-6"/>
      </w:pPr>
      <w:r>
        <w:rPr/>
        <w:t>Dr Stepanov has spent much of her career in service to the public sector and community. Her background includes:</w:t>
      </w:r>
    </w:p>
    <w:p>
      <w:pPr>
        <w:pStyle w:val="ListParagraph"/>
        <w:numPr>
          <w:ilvl w:val="0"/>
          <w:numId w:val="2"/>
        </w:numPr>
        <w:tabs>
          <w:tab w:pos="768" w:val="left" w:leader="none"/>
        </w:tabs>
        <w:spacing w:line="240" w:lineRule="auto" w:before="56" w:after="0"/>
        <w:ind w:left="768" w:right="0" w:hanging="274"/>
        <w:jc w:val="left"/>
        <w:rPr>
          <w:sz w:val="20"/>
        </w:rPr>
      </w:pPr>
      <w:r>
        <w:rPr>
          <w:sz w:val="20"/>
        </w:rPr>
        <w:t>professional ethics and</w:t>
      </w:r>
      <w:r>
        <w:rPr>
          <w:spacing w:val="-3"/>
          <w:sz w:val="20"/>
        </w:rPr>
        <w:t> </w:t>
      </w:r>
      <w:r>
        <w:rPr>
          <w:sz w:val="20"/>
        </w:rPr>
        <w:t>governance</w:t>
      </w:r>
    </w:p>
    <w:p>
      <w:pPr>
        <w:pStyle w:val="ListParagraph"/>
        <w:numPr>
          <w:ilvl w:val="0"/>
          <w:numId w:val="2"/>
        </w:numPr>
        <w:tabs>
          <w:tab w:pos="768" w:val="left" w:leader="none"/>
        </w:tabs>
        <w:spacing w:line="240" w:lineRule="auto" w:before="34" w:after="0"/>
        <w:ind w:left="768" w:right="0" w:hanging="274"/>
        <w:jc w:val="left"/>
        <w:rPr>
          <w:sz w:val="20"/>
        </w:rPr>
      </w:pPr>
      <w:r>
        <w:rPr>
          <w:sz w:val="20"/>
        </w:rPr>
        <w:t>research and research</w:t>
      </w:r>
      <w:r>
        <w:rPr>
          <w:spacing w:val="-1"/>
          <w:sz w:val="20"/>
        </w:rPr>
        <w:t> </w:t>
      </w:r>
      <w:r>
        <w:rPr>
          <w:sz w:val="20"/>
        </w:rPr>
        <w:t>regulation</w:t>
      </w:r>
    </w:p>
    <w:p>
      <w:pPr>
        <w:pStyle w:val="ListParagraph"/>
        <w:numPr>
          <w:ilvl w:val="0"/>
          <w:numId w:val="2"/>
        </w:numPr>
        <w:tabs>
          <w:tab w:pos="768" w:val="left" w:leader="none"/>
        </w:tabs>
        <w:spacing w:line="240" w:lineRule="auto" w:before="33" w:after="0"/>
        <w:ind w:left="768" w:right="0" w:hanging="274"/>
        <w:jc w:val="left"/>
        <w:rPr>
          <w:sz w:val="20"/>
        </w:rPr>
      </w:pPr>
      <w:r>
        <w:rPr>
          <w:sz w:val="20"/>
        </w:rPr>
        <w:t>mediation and dispute resolution,</w:t>
      </w:r>
      <w:r>
        <w:rPr>
          <w:spacing w:val="-2"/>
          <w:sz w:val="20"/>
        </w:rPr>
        <w:t> </w:t>
      </w:r>
      <w:r>
        <w:rPr>
          <w:sz w:val="20"/>
        </w:rPr>
        <w:t>and</w:t>
      </w:r>
    </w:p>
    <w:p>
      <w:pPr>
        <w:pStyle w:val="ListParagraph"/>
        <w:numPr>
          <w:ilvl w:val="0"/>
          <w:numId w:val="2"/>
        </w:numPr>
        <w:tabs>
          <w:tab w:pos="768" w:val="left" w:leader="none"/>
        </w:tabs>
        <w:spacing w:line="240" w:lineRule="auto" w:before="31" w:after="0"/>
        <w:ind w:left="768" w:right="0" w:hanging="274"/>
        <w:jc w:val="left"/>
        <w:rPr>
          <w:sz w:val="20"/>
        </w:rPr>
      </w:pPr>
      <w:r>
        <w:rPr>
          <w:sz w:val="20"/>
        </w:rPr>
        <w:t>board</w:t>
      </w:r>
      <w:r>
        <w:rPr>
          <w:spacing w:val="-1"/>
          <w:sz w:val="20"/>
        </w:rPr>
        <w:t> </w:t>
      </w:r>
      <w:r>
        <w:rPr>
          <w:sz w:val="20"/>
        </w:rPr>
        <w:t>governance.</w:t>
      </w:r>
    </w:p>
    <w:p>
      <w:pPr>
        <w:pStyle w:val="BodyText"/>
        <w:spacing w:line="276" w:lineRule="auto" w:before="97"/>
        <w:ind w:left="321"/>
      </w:pPr>
      <w:r>
        <w:rPr/>
        <w:t>She has particular expertise in resolving complex and</w:t>
      </w:r>
      <w:r>
        <w:rPr>
          <w:spacing w:val="-32"/>
        </w:rPr>
        <w:t> </w:t>
      </w:r>
      <w:r>
        <w:rPr/>
        <w:t>contentious conflicts where there are grave personal or governance</w:t>
      </w:r>
      <w:r>
        <w:rPr>
          <w:spacing w:val="-15"/>
        </w:rPr>
        <w:t> </w:t>
      </w:r>
      <w:r>
        <w:rPr/>
        <w:t>risks.</w:t>
      </w:r>
    </w:p>
    <w:p>
      <w:pPr>
        <w:pStyle w:val="BodyText"/>
        <w:spacing w:before="8"/>
        <w:rPr>
          <w:sz w:val="19"/>
        </w:rPr>
      </w:pPr>
    </w:p>
    <w:p>
      <w:pPr>
        <w:pStyle w:val="BodyText"/>
        <w:spacing w:line="276" w:lineRule="auto"/>
        <w:ind w:left="321" w:right="74"/>
        <w:jc w:val="both"/>
      </w:pPr>
      <w:r>
        <w:rPr/>
        <w:t>She holds five degrees, including a Juris Doctor (JD) and a</w:t>
      </w:r>
      <w:r>
        <w:rPr>
          <w:spacing w:val="-27"/>
        </w:rPr>
        <w:t> </w:t>
      </w:r>
      <w:r>
        <w:rPr/>
        <w:t>Doctor of Philosophy (PhD). She completed her PhD at the University of Melbourne with the School of Global and Population Health and the Melbourne Medical</w:t>
      </w:r>
      <w:r>
        <w:rPr>
          <w:spacing w:val="-1"/>
        </w:rPr>
        <w:t> </w:t>
      </w:r>
      <w:r>
        <w:rPr/>
        <w:t>School.</w:t>
      </w:r>
    </w:p>
    <w:p>
      <w:pPr>
        <w:pStyle w:val="BodyText"/>
      </w:pPr>
      <w:r>
        <w:rPr/>
        <w:br w:type="column"/>
      </w:r>
      <w:r>
        <w:rPr/>
      </w:r>
    </w:p>
    <w:p>
      <w:pPr>
        <w:pStyle w:val="BodyText"/>
        <w:spacing w:before="11"/>
        <w:rPr>
          <w:sz w:val="29"/>
        </w:rPr>
      </w:pPr>
    </w:p>
    <w:p>
      <w:pPr>
        <w:pStyle w:val="BodyText"/>
        <w:spacing w:line="276" w:lineRule="auto" w:before="1"/>
        <w:ind w:left="2048" w:right="4918" w:hanging="255"/>
      </w:pPr>
      <w:r>
        <w:rPr/>
        <w:t>Dr Stepanov’s professional accreditation and memberships include:</w:t>
      </w:r>
    </w:p>
    <w:p>
      <w:pPr>
        <w:pStyle w:val="ListParagraph"/>
        <w:numPr>
          <w:ilvl w:val="1"/>
          <w:numId w:val="2"/>
        </w:numPr>
        <w:tabs>
          <w:tab w:pos="2923" w:val="left" w:leader="none"/>
        </w:tabs>
        <w:spacing w:line="273" w:lineRule="auto" w:before="56" w:after="0"/>
        <w:ind w:left="2922" w:right="5357" w:hanging="267"/>
        <w:jc w:val="left"/>
        <w:rPr>
          <w:sz w:val="20"/>
        </w:rPr>
      </w:pPr>
      <w:r>
        <w:rPr>
          <w:sz w:val="20"/>
        </w:rPr>
        <w:t>Fellow of the</w:t>
      </w:r>
      <w:r>
        <w:rPr>
          <w:spacing w:val="-12"/>
          <w:sz w:val="20"/>
        </w:rPr>
        <w:t> </w:t>
      </w:r>
      <w:r>
        <w:rPr>
          <w:sz w:val="20"/>
        </w:rPr>
        <w:t>Governance Institute of</w:t>
      </w:r>
      <w:r>
        <w:rPr>
          <w:spacing w:val="-5"/>
          <w:sz w:val="20"/>
        </w:rPr>
        <w:t> </w:t>
      </w:r>
      <w:r>
        <w:rPr>
          <w:sz w:val="20"/>
        </w:rPr>
        <w:t>Australia</w:t>
      </w:r>
    </w:p>
    <w:p>
      <w:pPr>
        <w:pStyle w:val="ListParagraph"/>
        <w:numPr>
          <w:ilvl w:val="1"/>
          <w:numId w:val="2"/>
        </w:numPr>
        <w:tabs>
          <w:tab w:pos="2923" w:val="left" w:leader="none"/>
        </w:tabs>
        <w:spacing w:line="240" w:lineRule="auto" w:before="2" w:after="0"/>
        <w:ind w:left="2922" w:right="0" w:hanging="267"/>
        <w:jc w:val="left"/>
        <w:rPr>
          <w:sz w:val="20"/>
        </w:rPr>
      </w:pPr>
      <w:r>
        <w:rPr>
          <w:sz w:val="20"/>
        </w:rPr>
        <w:t>Mediator under the</w:t>
      </w:r>
      <w:r>
        <w:rPr>
          <w:spacing w:val="-2"/>
          <w:sz w:val="20"/>
        </w:rPr>
        <w:t> </w:t>
      </w:r>
      <w:r>
        <w:rPr>
          <w:sz w:val="20"/>
        </w:rPr>
        <w:t>National</w:t>
      </w:r>
    </w:p>
    <w:p>
      <w:pPr>
        <w:pStyle w:val="BodyText"/>
        <w:spacing w:before="36"/>
        <w:ind w:left="2922"/>
      </w:pPr>
      <w:r>
        <w:rPr/>
        <w:t>Mediator Accreditation System,</w:t>
      </w:r>
    </w:p>
    <w:p>
      <w:pPr>
        <w:pStyle w:val="ListParagraph"/>
        <w:numPr>
          <w:ilvl w:val="1"/>
          <w:numId w:val="2"/>
        </w:numPr>
        <w:tabs>
          <w:tab w:pos="2923" w:val="left" w:leader="none"/>
        </w:tabs>
        <w:spacing w:line="240" w:lineRule="auto" w:before="33" w:after="0"/>
        <w:ind w:left="2922" w:right="0" w:hanging="267"/>
        <w:jc w:val="left"/>
        <w:rPr>
          <w:sz w:val="20"/>
        </w:rPr>
      </w:pPr>
      <w:r>
        <w:rPr>
          <w:sz w:val="20"/>
        </w:rPr>
        <w:t>Family Dispute</w:t>
      </w:r>
      <w:r>
        <w:rPr>
          <w:spacing w:val="-2"/>
          <w:sz w:val="20"/>
        </w:rPr>
        <w:t> </w:t>
      </w:r>
      <w:r>
        <w:rPr>
          <w:sz w:val="20"/>
        </w:rPr>
        <w:t>Resolution</w:t>
      </w:r>
    </w:p>
    <w:p>
      <w:pPr>
        <w:pStyle w:val="BodyText"/>
        <w:spacing w:line="276" w:lineRule="auto" w:before="38"/>
        <w:ind w:left="2920" w:right="4918" w:firstLine="2"/>
      </w:pPr>
      <w:r>
        <w:rPr/>
        <w:t>Practitioner accredited by the Federal Attorney General’s Department, and</w:t>
      </w:r>
    </w:p>
    <w:p>
      <w:pPr>
        <w:pStyle w:val="ListParagraph"/>
        <w:numPr>
          <w:ilvl w:val="1"/>
          <w:numId w:val="2"/>
        </w:numPr>
        <w:tabs>
          <w:tab w:pos="2923" w:val="left" w:leader="none"/>
        </w:tabs>
        <w:spacing w:line="271" w:lineRule="auto" w:before="0" w:after="0"/>
        <w:ind w:left="2922" w:right="4988" w:hanging="267"/>
        <w:jc w:val="left"/>
        <w:rPr>
          <w:sz w:val="20"/>
        </w:rPr>
      </w:pPr>
      <w:r>
        <w:rPr>
          <w:sz w:val="20"/>
        </w:rPr>
        <w:t>Professional member with</w:t>
      </w:r>
      <w:r>
        <w:rPr>
          <w:spacing w:val="-13"/>
          <w:sz w:val="20"/>
        </w:rPr>
        <w:t> </w:t>
      </w:r>
      <w:r>
        <w:rPr>
          <w:sz w:val="20"/>
        </w:rPr>
        <w:t>the Resolution</w:t>
      </w:r>
      <w:r>
        <w:rPr>
          <w:spacing w:val="-1"/>
          <w:sz w:val="20"/>
        </w:rPr>
        <w:t> </w:t>
      </w:r>
      <w:r>
        <w:rPr>
          <w:sz w:val="20"/>
        </w:rPr>
        <w:t>Institute.</w:t>
      </w:r>
    </w:p>
    <w:p>
      <w:pPr>
        <w:pStyle w:val="BodyText"/>
        <w:spacing w:line="276" w:lineRule="auto" w:before="124"/>
        <w:ind w:left="2012" w:right="4869" w:firstLine="201"/>
      </w:pPr>
      <w:r>
        <w:rPr/>
        <w:t>In the mediation space, she has a strong interest in children’s rights, elder</w:t>
      </w:r>
    </w:p>
    <w:p>
      <w:pPr>
        <w:pStyle w:val="BodyText"/>
        <w:ind w:left="1743"/>
      </w:pPr>
      <w:r>
        <w:rPr/>
        <w:t>advocacy, cross-jurisdictional property</w:t>
      </w:r>
    </w:p>
    <w:p>
      <w:pPr>
        <w:pStyle w:val="BodyText"/>
        <w:spacing w:line="276" w:lineRule="auto" w:before="37"/>
        <w:ind w:left="764" w:right="4246" w:firstLine="609"/>
      </w:pPr>
      <w:r>
        <w:rPr/>
        <w:t>matters, and cross-border treaty matters involving children with complex health needs.</w:t>
      </w:r>
    </w:p>
    <w:p>
      <w:pPr>
        <w:pStyle w:val="BodyText"/>
        <w:spacing w:before="8"/>
        <w:rPr>
          <w:sz w:val="19"/>
        </w:rPr>
      </w:pPr>
    </w:p>
    <w:p>
      <w:pPr>
        <w:pStyle w:val="BodyText"/>
        <w:ind w:left="318"/>
      </w:pPr>
      <w:r>
        <w:rPr/>
        <w:t>Her community service roles include:</w:t>
      </w:r>
    </w:p>
    <w:p>
      <w:pPr>
        <w:pStyle w:val="ListParagraph"/>
        <w:numPr>
          <w:ilvl w:val="0"/>
          <w:numId w:val="3"/>
        </w:numPr>
        <w:tabs>
          <w:tab w:pos="678" w:val="left" w:leader="none"/>
          <w:tab w:pos="679" w:val="left" w:leader="none"/>
        </w:tabs>
        <w:spacing w:line="240" w:lineRule="auto" w:before="93" w:after="0"/>
        <w:ind w:left="678" w:right="0" w:hanging="360"/>
        <w:jc w:val="left"/>
        <w:rPr>
          <w:sz w:val="20"/>
        </w:rPr>
      </w:pPr>
      <w:r>
        <w:rPr>
          <w:sz w:val="20"/>
        </w:rPr>
        <w:t>President and Board Chair of the Brisbane Youth</w:t>
      </w:r>
      <w:r>
        <w:rPr>
          <w:spacing w:val="-3"/>
          <w:sz w:val="20"/>
        </w:rPr>
        <w:t> </w:t>
      </w:r>
      <w:r>
        <w:rPr>
          <w:sz w:val="20"/>
        </w:rPr>
        <w:t>Service.</w:t>
      </w:r>
    </w:p>
    <w:p>
      <w:pPr>
        <w:pStyle w:val="ListParagraph"/>
        <w:numPr>
          <w:ilvl w:val="0"/>
          <w:numId w:val="3"/>
        </w:numPr>
        <w:tabs>
          <w:tab w:pos="678" w:val="left" w:leader="none"/>
          <w:tab w:pos="679" w:val="left" w:leader="none"/>
        </w:tabs>
        <w:spacing w:line="276" w:lineRule="auto" w:before="33" w:after="0"/>
        <w:ind w:left="678" w:right="5425" w:hanging="360"/>
        <w:jc w:val="left"/>
        <w:rPr>
          <w:sz w:val="20"/>
        </w:rPr>
      </w:pPr>
      <w:r>
        <w:rPr>
          <w:sz w:val="20"/>
        </w:rPr>
        <w:t>Co-patron of the Corruption Prevention Network of Queensland (together with Mr Alan MacSporran</w:t>
      </w:r>
      <w:r>
        <w:rPr>
          <w:spacing w:val="-17"/>
          <w:sz w:val="20"/>
        </w:rPr>
        <w:t> </w:t>
      </w:r>
      <w:r>
        <w:rPr>
          <w:sz w:val="20"/>
        </w:rPr>
        <w:t>QC, Chairperson, Crime and Corruption</w:t>
      </w:r>
      <w:r>
        <w:rPr>
          <w:spacing w:val="-11"/>
          <w:sz w:val="20"/>
        </w:rPr>
        <w:t> </w:t>
      </w:r>
      <w:r>
        <w:rPr>
          <w:sz w:val="20"/>
        </w:rPr>
        <w:t>Commission).</w:t>
      </w:r>
    </w:p>
    <w:p>
      <w:pPr>
        <w:pStyle w:val="ListParagraph"/>
        <w:numPr>
          <w:ilvl w:val="0"/>
          <w:numId w:val="3"/>
        </w:numPr>
        <w:tabs>
          <w:tab w:pos="678" w:val="left" w:leader="none"/>
          <w:tab w:pos="679" w:val="left" w:leader="none"/>
        </w:tabs>
        <w:spacing w:line="273" w:lineRule="auto" w:before="0" w:after="0"/>
        <w:ind w:left="678" w:right="5710" w:hanging="360"/>
        <w:jc w:val="left"/>
        <w:rPr>
          <w:sz w:val="20"/>
        </w:rPr>
      </w:pPr>
      <w:r>
        <w:rPr>
          <w:sz w:val="20"/>
        </w:rPr>
        <w:t>Committee member of the Australian Institute</w:t>
      </w:r>
      <w:r>
        <w:rPr>
          <w:spacing w:val="-33"/>
          <w:sz w:val="20"/>
        </w:rPr>
        <w:t> </w:t>
      </w:r>
      <w:r>
        <w:rPr>
          <w:sz w:val="20"/>
        </w:rPr>
        <w:t>of Administrative</w:t>
      </w:r>
      <w:r>
        <w:rPr>
          <w:spacing w:val="-2"/>
          <w:sz w:val="20"/>
        </w:rPr>
        <w:t> </w:t>
      </w:r>
      <w:r>
        <w:rPr>
          <w:sz w:val="20"/>
        </w:rPr>
        <w:t>Law.</w:t>
      </w:r>
    </w:p>
    <w:p>
      <w:pPr>
        <w:pStyle w:val="ListParagraph"/>
        <w:numPr>
          <w:ilvl w:val="0"/>
          <w:numId w:val="3"/>
        </w:numPr>
        <w:tabs>
          <w:tab w:pos="678" w:val="left" w:leader="none"/>
          <w:tab w:pos="679" w:val="left" w:leader="none"/>
        </w:tabs>
        <w:spacing w:line="273" w:lineRule="auto" w:before="0" w:after="0"/>
        <w:ind w:left="678" w:right="4951" w:hanging="360"/>
        <w:jc w:val="left"/>
        <w:rPr>
          <w:sz w:val="20"/>
        </w:rPr>
      </w:pPr>
      <w:r>
        <w:rPr>
          <w:sz w:val="20"/>
        </w:rPr>
        <w:t>Steering committee member on the Health Ethics and</w:t>
      </w:r>
      <w:r>
        <w:rPr>
          <w:spacing w:val="-28"/>
          <w:sz w:val="20"/>
        </w:rPr>
        <w:t> </w:t>
      </w:r>
      <w:r>
        <w:rPr>
          <w:sz w:val="20"/>
        </w:rPr>
        <w:t>Law Network.</w:t>
      </w:r>
    </w:p>
    <w:p>
      <w:pPr>
        <w:pStyle w:val="ListParagraph"/>
        <w:numPr>
          <w:ilvl w:val="0"/>
          <w:numId w:val="3"/>
        </w:numPr>
        <w:tabs>
          <w:tab w:pos="678" w:val="left" w:leader="none"/>
          <w:tab w:pos="679" w:val="left" w:leader="none"/>
        </w:tabs>
        <w:spacing w:line="273" w:lineRule="auto" w:before="0" w:after="0"/>
        <w:ind w:left="678" w:right="5339" w:hanging="360"/>
        <w:jc w:val="left"/>
        <w:rPr>
          <w:sz w:val="20"/>
        </w:rPr>
      </w:pPr>
      <w:r>
        <w:rPr>
          <w:sz w:val="20"/>
        </w:rPr>
        <w:t>Member of the Queensland Children’s Hospital Ethics Committee.</w:t>
      </w:r>
    </w:p>
    <w:p>
      <w:pPr>
        <w:pStyle w:val="BodyText"/>
        <w:spacing w:before="125"/>
        <w:ind w:left="318"/>
      </w:pPr>
      <w:r>
        <w:rPr/>
        <w:t>Dr Stepanov is also an Adjunct Professor with the Division</w:t>
      </w:r>
      <w:r>
        <w:rPr>
          <w:spacing w:val="-26"/>
        </w:rPr>
        <w:t> </w:t>
      </w:r>
      <w:r>
        <w:rPr/>
        <w:t>of</w:t>
      </w:r>
    </w:p>
    <w:p>
      <w:pPr>
        <w:pStyle w:val="BodyText"/>
        <w:spacing w:before="37"/>
        <w:ind w:left="318"/>
      </w:pPr>
      <w:r>
        <w:rPr/>
        <w:t>Tropical Health and Medicine at James Cook University,</w:t>
      </w:r>
      <w:r>
        <w:rPr>
          <w:spacing w:val="-19"/>
        </w:rPr>
        <w:t> </w:t>
      </w:r>
      <w:r>
        <w:rPr/>
        <w:t>and</w:t>
      </w:r>
    </w:p>
    <w:p>
      <w:pPr>
        <w:pStyle w:val="BodyText"/>
        <w:spacing w:line="276" w:lineRule="auto" w:before="37"/>
        <w:ind w:left="318" w:right="4918"/>
      </w:pPr>
      <w:r>
        <w:rPr/>
        <w:t>continues to supervise PhD students and to publish in various fields.</w:t>
      </w:r>
    </w:p>
    <w:p>
      <w:pPr>
        <w:spacing w:after="0" w:line="276" w:lineRule="auto"/>
        <w:sectPr>
          <w:pgSz w:w="16840" w:h="11910" w:orient="landscape"/>
          <w:pgMar w:header="0" w:footer="310" w:top="720" w:bottom="540" w:left="540" w:right="260"/>
          <w:cols w:num="2" w:equalWidth="0">
            <w:col w:w="5634" w:space="40"/>
            <w:col w:w="10366"/>
          </w:cols>
        </w:sectPr>
      </w:pPr>
    </w:p>
    <w:p>
      <w:pPr>
        <w:spacing w:before="80"/>
        <w:ind w:left="321" w:right="0" w:firstLine="0"/>
        <w:jc w:val="left"/>
        <w:rPr>
          <w:rFonts w:ascii="Gill Sans MT" w:hAnsi="Gill Sans MT"/>
          <w:sz w:val="25"/>
        </w:rPr>
      </w:pPr>
      <w:r>
        <w:rPr>
          <w:rFonts w:ascii="Gill Sans MT" w:hAnsi="Gill Sans MT"/>
          <w:color w:val="2CB99D"/>
          <w:sz w:val="32"/>
        </w:rPr>
        <w:t>2018–2019 D</w:t>
      </w:r>
      <w:r>
        <w:rPr>
          <w:rFonts w:ascii="Gill Sans MT" w:hAnsi="Gill Sans MT"/>
          <w:color w:val="2CB99D"/>
          <w:sz w:val="25"/>
        </w:rPr>
        <w:t>ASHBOARD</w:t>
      </w:r>
    </w:p>
    <w:p>
      <w:pPr>
        <w:pStyle w:val="Heading1"/>
        <w:spacing w:before="266"/>
        <w:ind w:left="2126"/>
      </w:pPr>
      <w:r>
        <w:rPr/>
        <w:drawing>
          <wp:anchor distT="0" distB="0" distL="0" distR="0" allowOverlap="1" layoutInCell="1" locked="0" behindDoc="0" simplePos="0" relativeHeight="1192">
            <wp:simplePos x="0" y="0"/>
            <wp:positionH relativeFrom="page">
              <wp:posOffset>574573</wp:posOffset>
            </wp:positionH>
            <wp:positionV relativeFrom="paragraph">
              <wp:posOffset>200560</wp:posOffset>
            </wp:positionV>
            <wp:extent cx="1003401" cy="1125969"/>
            <wp:effectExtent l="0" t="0" r="0" b="0"/>
            <wp:wrapNone/>
            <wp:docPr id="3" name="image9.png" descr=""/>
            <wp:cNvGraphicFramePr>
              <a:graphicFrameLocks noChangeAspect="1"/>
            </wp:cNvGraphicFramePr>
            <a:graphic>
              <a:graphicData uri="http://schemas.openxmlformats.org/drawingml/2006/picture">
                <pic:pic>
                  <pic:nvPicPr>
                    <pic:cNvPr id="4" name="image9.png"/>
                    <pic:cNvPicPr/>
                  </pic:nvPicPr>
                  <pic:blipFill>
                    <a:blip r:embed="rId14" cstate="print"/>
                    <a:stretch>
                      <a:fillRect/>
                    </a:stretch>
                  </pic:blipFill>
                  <pic:spPr>
                    <a:xfrm>
                      <a:off x="0" y="0"/>
                      <a:ext cx="1003401" cy="1125969"/>
                    </a:xfrm>
                    <a:prstGeom prst="rect">
                      <a:avLst/>
                    </a:prstGeom>
                  </pic:spPr>
                </pic:pic>
              </a:graphicData>
            </a:graphic>
          </wp:anchor>
        </w:drawing>
      </w:r>
      <w:r>
        <w:rPr>
          <w:color w:val="000080"/>
        </w:rPr>
        <w:t>5000+</w:t>
      </w:r>
    </w:p>
    <w:p>
      <w:pPr>
        <w:spacing w:before="137"/>
        <w:ind w:left="455" w:right="207" w:firstLine="0"/>
        <w:jc w:val="center"/>
        <w:rPr>
          <w:rFonts w:ascii="Gill Sans MT"/>
          <w:sz w:val="22"/>
        </w:rPr>
      </w:pPr>
      <w:r>
        <w:rPr/>
        <w:br w:type="column"/>
      </w:r>
      <w:r>
        <w:rPr>
          <w:rFonts w:ascii="Gill Sans MT"/>
          <w:color w:val="FF6621"/>
          <w:sz w:val="22"/>
        </w:rPr>
        <w:t>I</w:t>
      </w:r>
      <w:r>
        <w:rPr>
          <w:rFonts w:ascii="Gill Sans MT"/>
          <w:color w:val="FF6621"/>
          <w:sz w:val="17"/>
        </w:rPr>
        <w:t>NTEGRITY </w:t>
      </w:r>
      <w:r>
        <w:rPr>
          <w:rFonts w:ascii="Gill Sans MT"/>
          <w:color w:val="FF6621"/>
          <w:sz w:val="22"/>
        </w:rPr>
        <w:t>F</w:t>
      </w:r>
      <w:r>
        <w:rPr>
          <w:rFonts w:ascii="Gill Sans MT"/>
          <w:color w:val="FF6621"/>
          <w:sz w:val="17"/>
        </w:rPr>
        <w:t>UNCTION </w:t>
      </w:r>
      <w:r>
        <w:rPr>
          <w:rFonts w:ascii="Gill Sans MT"/>
          <w:color w:val="FF6621"/>
          <w:sz w:val="22"/>
        </w:rPr>
        <w:t>(R</w:t>
      </w:r>
      <w:r>
        <w:rPr>
          <w:rFonts w:ascii="Gill Sans MT"/>
          <w:color w:val="FF6621"/>
          <w:sz w:val="17"/>
        </w:rPr>
        <w:t>EFER </w:t>
      </w:r>
      <w:r>
        <w:rPr>
          <w:rFonts w:ascii="Gill Sans MT"/>
          <w:color w:val="FF6621"/>
          <w:sz w:val="22"/>
        </w:rPr>
        <w:t>P</w:t>
      </w:r>
      <w:r>
        <w:rPr>
          <w:rFonts w:ascii="Gill Sans MT"/>
          <w:color w:val="FF6621"/>
          <w:sz w:val="17"/>
        </w:rPr>
        <w:t>AGE </w:t>
      </w:r>
      <w:r>
        <w:rPr>
          <w:rFonts w:ascii="Gill Sans MT"/>
          <w:color w:val="FF6621"/>
          <w:sz w:val="22"/>
        </w:rPr>
        <w:t>8)</w:t>
      </w:r>
    </w:p>
    <w:p>
      <w:pPr>
        <w:pStyle w:val="BodyText"/>
        <w:spacing w:before="7"/>
        <w:rPr>
          <w:rFonts w:ascii="Gill Sans MT"/>
          <w:sz w:val="29"/>
        </w:rPr>
      </w:pPr>
    </w:p>
    <w:p>
      <w:pPr>
        <w:pStyle w:val="Heading1"/>
        <w:ind w:right="207"/>
        <w:jc w:val="center"/>
      </w:pPr>
      <w:r>
        <w:rPr/>
        <w:drawing>
          <wp:anchor distT="0" distB="0" distL="0" distR="0" allowOverlap="1" layoutInCell="1" locked="0" behindDoc="0" simplePos="0" relativeHeight="1216">
            <wp:simplePos x="0" y="0"/>
            <wp:positionH relativeFrom="page">
              <wp:posOffset>3850385</wp:posOffset>
            </wp:positionH>
            <wp:positionV relativeFrom="paragraph">
              <wp:posOffset>-54849</wp:posOffset>
            </wp:positionV>
            <wp:extent cx="633984" cy="692912"/>
            <wp:effectExtent l="0" t="0" r="0" b="0"/>
            <wp:wrapNone/>
            <wp:docPr id="5" name="image10.png" descr=""/>
            <wp:cNvGraphicFramePr>
              <a:graphicFrameLocks noChangeAspect="1"/>
            </wp:cNvGraphicFramePr>
            <a:graphic>
              <a:graphicData uri="http://schemas.openxmlformats.org/drawingml/2006/picture">
                <pic:pic>
                  <pic:nvPicPr>
                    <pic:cNvPr id="6" name="image10.png"/>
                    <pic:cNvPicPr/>
                  </pic:nvPicPr>
                  <pic:blipFill>
                    <a:blip r:embed="rId15" cstate="print"/>
                    <a:stretch>
                      <a:fillRect/>
                    </a:stretch>
                  </pic:blipFill>
                  <pic:spPr>
                    <a:xfrm>
                      <a:off x="0" y="0"/>
                      <a:ext cx="633984" cy="692912"/>
                    </a:xfrm>
                    <a:prstGeom prst="rect">
                      <a:avLst/>
                    </a:prstGeom>
                  </pic:spPr>
                </pic:pic>
              </a:graphicData>
            </a:graphic>
          </wp:anchor>
        </w:drawing>
      </w:r>
      <w:r>
        <w:rPr/>
        <w:drawing>
          <wp:anchor distT="0" distB="0" distL="0" distR="0" allowOverlap="1" layoutInCell="1" locked="0" behindDoc="0" simplePos="0" relativeHeight="1240">
            <wp:simplePos x="0" y="0"/>
            <wp:positionH relativeFrom="page">
              <wp:posOffset>5568950</wp:posOffset>
            </wp:positionH>
            <wp:positionV relativeFrom="paragraph">
              <wp:posOffset>-28433</wp:posOffset>
            </wp:positionV>
            <wp:extent cx="497839" cy="633983"/>
            <wp:effectExtent l="0" t="0" r="0" b="0"/>
            <wp:wrapNone/>
            <wp:docPr id="7" name="image11.png" descr=""/>
            <wp:cNvGraphicFramePr>
              <a:graphicFrameLocks noChangeAspect="1"/>
            </wp:cNvGraphicFramePr>
            <a:graphic>
              <a:graphicData uri="http://schemas.openxmlformats.org/drawingml/2006/picture">
                <pic:pic>
                  <pic:nvPicPr>
                    <pic:cNvPr id="8" name="image11.png"/>
                    <pic:cNvPicPr/>
                  </pic:nvPicPr>
                  <pic:blipFill>
                    <a:blip r:embed="rId16" cstate="print"/>
                    <a:stretch>
                      <a:fillRect/>
                    </a:stretch>
                  </pic:blipFill>
                  <pic:spPr>
                    <a:xfrm>
                      <a:off x="0" y="0"/>
                      <a:ext cx="497839" cy="633983"/>
                    </a:xfrm>
                    <a:prstGeom prst="rect">
                      <a:avLst/>
                    </a:prstGeom>
                  </pic:spPr>
                </pic:pic>
              </a:graphicData>
            </a:graphic>
          </wp:anchor>
        </w:drawing>
      </w:r>
      <w:r>
        <w:rPr>
          <w:color w:val="2CB99D"/>
        </w:rPr>
        <w:t>335</w:t>
      </w:r>
    </w:p>
    <w:p>
      <w:pPr>
        <w:spacing w:before="726"/>
        <w:ind w:left="201" w:right="0" w:firstLine="0"/>
        <w:jc w:val="left"/>
        <w:rPr>
          <w:rFonts w:ascii="Gill Sans MT"/>
          <w:sz w:val="72"/>
        </w:rPr>
      </w:pPr>
      <w:r>
        <w:rPr/>
        <w:br w:type="column"/>
      </w:r>
      <w:r>
        <w:rPr>
          <w:rFonts w:ascii="Gill Sans MT"/>
          <w:color w:val="2CB99D"/>
          <w:sz w:val="72"/>
        </w:rPr>
        <w:t>274</w:t>
      </w:r>
    </w:p>
    <w:p>
      <w:pPr>
        <w:pStyle w:val="Heading1"/>
        <w:tabs>
          <w:tab w:pos="4143" w:val="left" w:leader="none"/>
        </w:tabs>
        <w:spacing w:before="726"/>
        <w:ind w:left="1469"/>
      </w:pPr>
      <w:r>
        <w:rPr/>
        <w:br w:type="column"/>
      </w:r>
      <w:r>
        <w:rPr>
          <w:color w:val="2CB99D"/>
        </w:rPr>
        <w:t>38%</w:t>
        <w:tab/>
        <w:t>61</w:t>
      </w:r>
    </w:p>
    <w:p>
      <w:pPr>
        <w:spacing w:after="0"/>
        <w:sectPr>
          <w:pgSz w:w="16840" w:h="11910" w:orient="landscape"/>
          <w:pgMar w:header="0" w:footer="310" w:top="600" w:bottom="540" w:left="540" w:right="260"/>
          <w:cols w:num="4" w:equalWidth="0">
            <w:col w:w="4028" w:space="1174"/>
            <w:col w:w="3812" w:space="40"/>
            <w:col w:w="1282" w:space="40"/>
            <w:col w:w="5664"/>
          </w:cols>
        </w:sectPr>
      </w:pPr>
    </w:p>
    <w:p>
      <w:pPr>
        <w:pStyle w:val="BodyText"/>
        <w:spacing w:before="3"/>
        <w:rPr>
          <w:rFonts w:ascii="Gill Sans MT"/>
          <w:sz w:val="12"/>
        </w:rPr>
      </w:pPr>
    </w:p>
    <w:p>
      <w:pPr>
        <w:spacing w:after="0"/>
        <w:rPr>
          <w:rFonts w:ascii="Gill Sans MT"/>
          <w:sz w:val="12"/>
        </w:rPr>
        <w:sectPr>
          <w:type w:val="continuous"/>
          <w:pgSz w:w="16840" w:h="11910" w:orient="landscape"/>
          <w:pgMar w:top="960" w:bottom="280" w:left="540" w:right="260"/>
        </w:sectPr>
      </w:pPr>
    </w:p>
    <w:p>
      <w:pPr>
        <w:pStyle w:val="BodyText"/>
        <w:spacing w:before="59"/>
        <w:ind w:left="2126" w:right="38"/>
        <w:jc w:val="both"/>
      </w:pPr>
      <w:r>
        <w:rPr>
          <w:color w:val="000080"/>
        </w:rPr>
        <w:t>designated persons entitled to seek advice from the Integrity Commissioner:</w:t>
      </w:r>
    </w:p>
    <w:p>
      <w:pPr>
        <w:pStyle w:val="BodyText"/>
        <w:tabs>
          <w:tab w:pos="681" w:val="left" w:leader="none"/>
        </w:tabs>
        <w:spacing w:before="146"/>
        <w:ind w:left="321"/>
      </w:pPr>
      <w:r>
        <w:rPr>
          <w:rFonts w:ascii="Wingdings 3" w:hAnsi="Wingdings 3"/>
          <w:color w:val="000080"/>
        </w:rPr>
        <w:t></w:t>
      </w:r>
      <w:r>
        <w:rPr>
          <w:rFonts w:ascii="Times New Roman" w:hAnsi="Times New Roman"/>
          <w:color w:val="000080"/>
        </w:rPr>
        <w:tab/>
      </w:r>
      <w:r>
        <w:rPr>
          <w:color w:val="000080"/>
        </w:rPr>
        <w:t>Members of the Legislative Assembly,</w:t>
      </w:r>
      <w:r>
        <w:rPr>
          <w:color w:val="000080"/>
          <w:spacing w:val="-16"/>
        </w:rPr>
        <w:t> </w:t>
      </w:r>
      <w:r>
        <w:rPr>
          <w:color w:val="000080"/>
        </w:rPr>
        <w:t>including:</w:t>
      </w:r>
    </w:p>
    <w:p>
      <w:pPr>
        <w:pStyle w:val="BodyText"/>
        <w:tabs>
          <w:tab w:pos="1401" w:val="left" w:leader="none"/>
        </w:tabs>
        <w:spacing w:before="121"/>
        <w:ind w:left="1041"/>
      </w:pPr>
      <w:r>
        <w:rPr>
          <w:rFonts w:ascii="Wingdings 3" w:hAnsi="Wingdings 3"/>
          <w:color w:val="000080"/>
        </w:rPr>
        <w:t></w:t>
      </w:r>
      <w:r>
        <w:rPr>
          <w:rFonts w:ascii="Times New Roman" w:hAnsi="Times New Roman"/>
          <w:color w:val="000080"/>
        </w:rPr>
        <w:tab/>
      </w:r>
      <w:r>
        <w:rPr>
          <w:color w:val="000080"/>
        </w:rPr>
        <w:t>The</w:t>
      </w:r>
      <w:r>
        <w:rPr>
          <w:color w:val="000080"/>
          <w:spacing w:val="-2"/>
        </w:rPr>
        <w:t> </w:t>
      </w:r>
      <w:r>
        <w:rPr>
          <w:color w:val="000080"/>
        </w:rPr>
        <w:t>Premier</w:t>
      </w:r>
    </w:p>
    <w:p>
      <w:pPr>
        <w:pStyle w:val="BodyText"/>
        <w:spacing w:before="176"/>
        <w:ind w:left="321" w:right="38"/>
        <w:jc w:val="both"/>
      </w:pPr>
      <w:r>
        <w:rPr/>
        <w:br w:type="column"/>
      </w:r>
      <w:r>
        <w:rPr>
          <w:color w:val="2CB99D"/>
        </w:rPr>
        <w:t>formal requests for ethics and integrity advice from designated persons</w:t>
      </w:r>
    </w:p>
    <w:p>
      <w:pPr>
        <w:pStyle w:val="BodyText"/>
        <w:spacing w:before="176"/>
        <w:ind w:left="321" w:right="10"/>
      </w:pPr>
      <w:r>
        <w:rPr/>
        <w:br w:type="column"/>
      </w:r>
      <w:r>
        <w:rPr>
          <w:color w:val="2CB99D"/>
        </w:rPr>
        <w:t>formal written advices issued</w:t>
      </w:r>
    </w:p>
    <w:p>
      <w:pPr>
        <w:pStyle w:val="BodyText"/>
        <w:spacing w:before="176"/>
        <w:ind w:left="371" w:right="11"/>
      </w:pPr>
      <w:r>
        <w:rPr/>
        <w:br w:type="column"/>
      </w:r>
      <w:r>
        <w:rPr>
          <w:color w:val="2CB99D"/>
        </w:rPr>
        <w:t>of formal written advices issued within 1 business day of request</w:t>
      </w:r>
    </w:p>
    <w:p>
      <w:pPr>
        <w:pStyle w:val="BodyText"/>
        <w:spacing w:before="167"/>
        <w:ind w:left="378"/>
      </w:pPr>
      <w:r>
        <w:rPr/>
        <w:br w:type="column"/>
      </w:r>
      <w:r>
        <w:rPr>
          <w:color w:val="2CB99D"/>
        </w:rPr>
        <w:t>formal requests not</w:t>
      </w:r>
    </w:p>
    <w:p>
      <w:pPr>
        <w:pStyle w:val="BodyText"/>
        <w:spacing w:line="243" w:lineRule="exact"/>
        <w:ind w:left="378"/>
      </w:pPr>
      <w:r>
        <w:rPr/>
        <w:drawing>
          <wp:anchor distT="0" distB="0" distL="0" distR="0" allowOverlap="1" layoutInCell="1" locked="0" behindDoc="0" simplePos="0" relativeHeight="1264">
            <wp:simplePos x="0" y="0"/>
            <wp:positionH relativeFrom="page">
              <wp:posOffset>7127240</wp:posOffset>
            </wp:positionH>
            <wp:positionV relativeFrom="paragraph">
              <wp:posOffset>-961878</wp:posOffset>
            </wp:positionV>
            <wp:extent cx="731520" cy="731519"/>
            <wp:effectExtent l="0" t="0" r="0" b="0"/>
            <wp:wrapNone/>
            <wp:docPr id="9" name="image12.png" descr=""/>
            <wp:cNvGraphicFramePr>
              <a:graphicFrameLocks noChangeAspect="1"/>
            </wp:cNvGraphicFramePr>
            <a:graphic>
              <a:graphicData uri="http://schemas.openxmlformats.org/drawingml/2006/picture">
                <pic:pic>
                  <pic:nvPicPr>
                    <pic:cNvPr id="10" name="image12.png"/>
                    <pic:cNvPicPr/>
                  </pic:nvPicPr>
                  <pic:blipFill>
                    <a:blip r:embed="rId17" cstate="print"/>
                    <a:stretch>
                      <a:fillRect/>
                    </a:stretch>
                  </pic:blipFill>
                  <pic:spPr>
                    <a:xfrm>
                      <a:off x="0" y="0"/>
                      <a:ext cx="731520" cy="731519"/>
                    </a:xfrm>
                    <a:prstGeom prst="rect">
                      <a:avLst/>
                    </a:prstGeom>
                  </pic:spPr>
                </pic:pic>
              </a:graphicData>
            </a:graphic>
          </wp:anchor>
        </w:drawing>
      </w:r>
      <w:r>
        <w:rPr/>
        <w:drawing>
          <wp:anchor distT="0" distB="0" distL="0" distR="0" allowOverlap="1" layoutInCell="1" locked="0" behindDoc="1" simplePos="0" relativeHeight="268400903">
            <wp:simplePos x="0" y="0"/>
            <wp:positionH relativeFrom="page">
              <wp:posOffset>8795004</wp:posOffset>
            </wp:positionH>
            <wp:positionV relativeFrom="paragraph">
              <wp:posOffset>-955528</wp:posOffset>
            </wp:positionV>
            <wp:extent cx="731520" cy="731519"/>
            <wp:effectExtent l="0" t="0" r="0" b="0"/>
            <wp:wrapNone/>
            <wp:docPr id="11" name="image13.png" descr=""/>
            <wp:cNvGraphicFramePr>
              <a:graphicFrameLocks noChangeAspect="1"/>
            </wp:cNvGraphicFramePr>
            <a:graphic>
              <a:graphicData uri="http://schemas.openxmlformats.org/drawingml/2006/picture">
                <pic:pic>
                  <pic:nvPicPr>
                    <pic:cNvPr id="12" name="image13.png"/>
                    <pic:cNvPicPr/>
                  </pic:nvPicPr>
                  <pic:blipFill>
                    <a:blip r:embed="rId18" cstate="print"/>
                    <a:stretch>
                      <a:fillRect/>
                    </a:stretch>
                  </pic:blipFill>
                  <pic:spPr>
                    <a:xfrm>
                      <a:off x="0" y="0"/>
                      <a:ext cx="731520" cy="731519"/>
                    </a:xfrm>
                    <a:prstGeom prst="rect">
                      <a:avLst/>
                    </a:prstGeom>
                  </pic:spPr>
                </pic:pic>
              </a:graphicData>
            </a:graphic>
          </wp:anchor>
        </w:drawing>
      </w:r>
      <w:r>
        <w:rPr>
          <w:color w:val="2CB99D"/>
        </w:rPr>
        <w:t>within the scope of the</w:t>
      </w:r>
    </w:p>
    <w:p>
      <w:pPr>
        <w:spacing w:line="243" w:lineRule="exact" w:before="0"/>
        <w:ind w:left="378" w:right="0" w:firstLine="0"/>
        <w:jc w:val="left"/>
        <w:rPr>
          <w:i/>
          <w:sz w:val="20"/>
        </w:rPr>
      </w:pPr>
      <w:r>
        <w:rPr>
          <w:i/>
          <w:color w:val="2CB99D"/>
          <w:sz w:val="20"/>
        </w:rPr>
        <w:t>Integrity Act 2009</w:t>
      </w:r>
    </w:p>
    <w:p>
      <w:pPr>
        <w:spacing w:after="0" w:line="243" w:lineRule="exact"/>
        <w:jc w:val="left"/>
        <w:rPr>
          <w:sz w:val="20"/>
        </w:rPr>
        <w:sectPr>
          <w:type w:val="continuous"/>
          <w:pgSz w:w="16840" w:h="11910" w:orient="landscape"/>
          <w:pgMar w:top="960" w:bottom="280" w:left="540" w:right="260"/>
          <w:cols w:num="5" w:equalWidth="0">
            <w:col w:w="4644" w:space="524"/>
            <w:col w:w="2452" w:space="174"/>
            <w:col w:w="2176" w:space="392"/>
            <w:col w:w="2439" w:space="187"/>
            <w:col w:w="3052"/>
          </w:cols>
        </w:sectPr>
      </w:pPr>
    </w:p>
    <w:p>
      <w:pPr>
        <w:pStyle w:val="BodyText"/>
        <w:tabs>
          <w:tab w:pos="1401" w:val="left" w:leader="none"/>
        </w:tabs>
        <w:spacing w:before="118"/>
        <w:ind w:left="1041"/>
      </w:pPr>
      <w:r>
        <w:rPr>
          <w:rFonts w:ascii="Wingdings 3" w:hAnsi="Wingdings 3"/>
          <w:color w:val="000080"/>
        </w:rPr>
        <w:t></w:t>
      </w:r>
      <w:r>
        <w:rPr>
          <w:rFonts w:ascii="Times New Roman" w:hAnsi="Times New Roman"/>
          <w:color w:val="000080"/>
        </w:rPr>
        <w:tab/>
      </w:r>
      <w:r>
        <w:rPr>
          <w:color w:val="000080"/>
        </w:rPr>
        <w:t>The Deputy</w:t>
      </w:r>
      <w:r>
        <w:rPr>
          <w:color w:val="000080"/>
          <w:spacing w:val="-8"/>
        </w:rPr>
        <w:t> </w:t>
      </w:r>
      <w:r>
        <w:rPr>
          <w:color w:val="000080"/>
        </w:rPr>
        <w:t>Premier</w:t>
      </w:r>
    </w:p>
    <w:p>
      <w:pPr>
        <w:pStyle w:val="BodyText"/>
        <w:tabs>
          <w:tab w:pos="1401" w:val="left" w:leader="none"/>
        </w:tabs>
        <w:spacing w:before="121"/>
        <w:ind w:left="1041"/>
      </w:pPr>
      <w:r>
        <w:rPr>
          <w:rFonts w:ascii="Wingdings 3" w:hAnsi="Wingdings 3"/>
          <w:color w:val="000080"/>
        </w:rPr>
        <w:t></w:t>
      </w:r>
      <w:r>
        <w:rPr>
          <w:rFonts w:ascii="Times New Roman" w:hAnsi="Times New Roman"/>
          <w:color w:val="000080"/>
        </w:rPr>
        <w:tab/>
      </w:r>
      <w:r>
        <w:rPr>
          <w:color w:val="000080"/>
        </w:rPr>
        <w:t>Ministers</w:t>
      </w:r>
    </w:p>
    <w:p>
      <w:pPr>
        <w:pStyle w:val="BodyText"/>
        <w:tabs>
          <w:tab w:pos="1401" w:val="left" w:leader="none"/>
        </w:tabs>
        <w:spacing w:line="92" w:lineRule="exact" w:before="121"/>
        <w:ind w:left="1041"/>
      </w:pPr>
      <w:r>
        <w:rPr>
          <w:rFonts w:ascii="Wingdings 3" w:hAnsi="Wingdings 3"/>
          <w:color w:val="000080"/>
        </w:rPr>
        <w:t></w:t>
      </w:r>
      <w:r>
        <w:rPr>
          <w:rFonts w:ascii="Times New Roman" w:hAnsi="Times New Roman"/>
          <w:color w:val="000080"/>
        </w:rPr>
        <w:tab/>
      </w:r>
      <w:r>
        <w:rPr>
          <w:color w:val="000080"/>
        </w:rPr>
        <w:t>Assistant</w:t>
      </w:r>
      <w:r>
        <w:rPr>
          <w:color w:val="000080"/>
          <w:spacing w:val="-3"/>
        </w:rPr>
        <w:t> </w:t>
      </w:r>
      <w:r>
        <w:rPr>
          <w:color w:val="000080"/>
        </w:rPr>
        <w:t>Ministers</w:t>
      </w:r>
    </w:p>
    <w:p>
      <w:pPr>
        <w:pStyle w:val="BodyText"/>
        <w:spacing w:before="4"/>
        <w:rPr>
          <w:sz w:val="21"/>
        </w:rPr>
      </w:pPr>
      <w:r>
        <w:rPr/>
        <w:br w:type="column"/>
      </w:r>
      <w:r>
        <w:rPr>
          <w:sz w:val="21"/>
        </w:rPr>
      </w:r>
    </w:p>
    <w:p>
      <w:pPr>
        <w:spacing w:before="0"/>
        <w:ind w:left="1219" w:right="0" w:firstLine="0"/>
        <w:jc w:val="left"/>
        <w:rPr>
          <w:rFonts w:ascii="Gill Sans MT"/>
          <w:sz w:val="22"/>
        </w:rPr>
      </w:pPr>
      <w:r>
        <w:rPr>
          <w:rFonts w:ascii="Gill Sans MT"/>
          <w:color w:val="FF6621"/>
          <w:sz w:val="22"/>
        </w:rPr>
        <w:t>L</w:t>
      </w:r>
      <w:r>
        <w:rPr>
          <w:rFonts w:ascii="Gill Sans MT"/>
          <w:color w:val="FF6621"/>
          <w:sz w:val="17"/>
        </w:rPr>
        <w:t>OBBYING </w:t>
      </w:r>
      <w:r>
        <w:rPr>
          <w:rFonts w:ascii="Gill Sans MT"/>
          <w:color w:val="FF6621"/>
          <w:sz w:val="22"/>
        </w:rPr>
        <w:t>F</w:t>
      </w:r>
      <w:r>
        <w:rPr>
          <w:rFonts w:ascii="Gill Sans MT"/>
          <w:color w:val="FF6621"/>
          <w:sz w:val="17"/>
        </w:rPr>
        <w:t>UNCTION </w:t>
      </w:r>
      <w:r>
        <w:rPr>
          <w:rFonts w:ascii="Gill Sans MT"/>
          <w:color w:val="FF6621"/>
          <w:sz w:val="22"/>
        </w:rPr>
        <w:t>(R</w:t>
      </w:r>
      <w:r>
        <w:rPr>
          <w:rFonts w:ascii="Gill Sans MT"/>
          <w:color w:val="FF6621"/>
          <w:sz w:val="17"/>
        </w:rPr>
        <w:t>EFER </w:t>
      </w:r>
      <w:r>
        <w:rPr>
          <w:rFonts w:ascii="Gill Sans MT"/>
          <w:color w:val="FF6621"/>
          <w:sz w:val="22"/>
        </w:rPr>
        <w:t>P</w:t>
      </w:r>
      <w:r>
        <w:rPr>
          <w:rFonts w:ascii="Gill Sans MT"/>
          <w:color w:val="FF6621"/>
          <w:sz w:val="17"/>
        </w:rPr>
        <w:t>AGE </w:t>
      </w:r>
      <w:r>
        <w:rPr>
          <w:rFonts w:ascii="Gill Sans MT"/>
          <w:color w:val="FF6621"/>
          <w:sz w:val="22"/>
        </w:rPr>
        <w:t>9)</w:t>
      </w:r>
    </w:p>
    <w:p>
      <w:pPr>
        <w:pStyle w:val="BodyText"/>
        <w:spacing w:before="1"/>
        <w:rPr>
          <w:rFonts w:ascii="Gill Sans MT"/>
          <w:sz w:val="24"/>
        </w:rPr>
      </w:pPr>
      <w:r>
        <w:rPr/>
        <w:br w:type="column"/>
      </w:r>
      <w:r>
        <w:rPr>
          <w:rFonts w:ascii="Gill Sans MT"/>
          <w:sz w:val="24"/>
        </w:rPr>
      </w:r>
    </w:p>
    <w:p>
      <w:pPr>
        <w:spacing w:before="0"/>
        <w:ind w:left="1207" w:right="0" w:firstLine="0"/>
        <w:jc w:val="left"/>
        <w:rPr>
          <w:rFonts w:ascii="Gill Sans MT"/>
          <w:sz w:val="22"/>
        </w:rPr>
      </w:pPr>
      <w:r>
        <w:rPr>
          <w:rFonts w:ascii="Gill Sans MT"/>
          <w:color w:val="FF6621"/>
          <w:sz w:val="22"/>
        </w:rPr>
        <w:t>P</w:t>
      </w:r>
      <w:r>
        <w:rPr>
          <w:rFonts w:ascii="Gill Sans MT"/>
          <w:color w:val="FF6621"/>
          <w:sz w:val="17"/>
        </w:rPr>
        <w:t>UBLIC </w:t>
      </w:r>
      <w:r>
        <w:rPr>
          <w:rFonts w:ascii="Gill Sans MT"/>
          <w:color w:val="FF6621"/>
          <w:sz w:val="22"/>
        </w:rPr>
        <w:t>A</w:t>
      </w:r>
      <w:r>
        <w:rPr>
          <w:rFonts w:ascii="Gill Sans MT"/>
          <w:color w:val="FF6621"/>
          <w:sz w:val="17"/>
        </w:rPr>
        <w:t>WARENESS </w:t>
      </w:r>
      <w:r>
        <w:rPr>
          <w:rFonts w:ascii="Gill Sans MT"/>
          <w:color w:val="FF6621"/>
          <w:sz w:val="22"/>
        </w:rPr>
        <w:t>F</w:t>
      </w:r>
      <w:r>
        <w:rPr>
          <w:rFonts w:ascii="Gill Sans MT"/>
          <w:color w:val="FF6621"/>
          <w:sz w:val="17"/>
        </w:rPr>
        <w:t>UNCTION </w:t>
      </w:r>
      <w:r>
        <w:rPr>
          <w:rFonts w:ascii="Gill Sans MT"/>
          <w:color w:val="FF6621"/>
          <w:sz w:val="22"/>
        </w:rPr>
        <w:t>(R</w:t>
      </w:r>
      <w:r>
        <w:rPr>
          <w:rFonts w:ascii="Gill Sans MT"/>
          <w:color w:val="FF6621"/>
          <w:sz w:val="17"/>
        </w:rPr>
        <w:t>EFER </w:t>
      </w:r>
      <w:r>
        <w:rPr>
          <w:rFonts w:ascii="Gill Sans MT"/>
          <w:color w:val="FF6621"/>
          <w:sz w:val="22"/>
        </w:rPr>
        <w:t>P</w:t>
      </w:r>
      <w:r>
        <w:rPr>
          <w:rFonts w:ascii="Gill Sans MT"/>
          <w:color w:val="FF6621"/>
          <w:sz w:val="17"/>
        </w:rPr>
        <w:t>AGE </w:t>
      </w:r>
      <w:r>
        <w:rPr>
          <w:rFonts w:ascii="Gill Sans MT"/>
          <w:color w:val="FF6621"/>
          <w:sz w:val="22"/>
        </w:rPr>
        <w:t>10)</w:t>
      </w:r>
    </w:p>
    <w:p>
      <w:pPr>
        <w:spacing w:after="0"/>
        <w:jc w:val="left"/>
        <w:rPr>
          <w:rFonts w:ascii="Gill Sans MT"/>
          <w:sz w:val="22"/>
        </w:rPr>
        <w:sectPr>
          <w:type w:val="continuous"/>
          <w:pgSz w:w="16840" w:h="11910" w:orient="landscape"/>
          <w:pgMar w:top="960" w:bottom="280" w:left="540" w:right="260"/>
          <w:cols w:num="3" w:equalWidth="0">
            <w:col w:w="3068" w:space="1322"/>
            <w:col w:w="4535" w:space="729"/>
            <w:col w:w="6386"/>
          </w:cols>
        </w:sectPr>
      </w:pPr>
    </w:p>
    <w:p>
      <w:pPr>
        <w:pStyle w:val="BodyText"/>
        <w:spacing w:before="5"/>
        <w:rPr>
          <w:rFonts w:ascii="Gill Sans MT"/>
          <w:sz w:val="23"/>
        </w:rPr>
      </w:pPr>
    </w:p>
    <w:p>
      <w:pPr>
        <w:pStyle w:val="BodyText"/>
        <w:tabs>
          <w:tab w:pos="1401" w:val="left" w:leader="none"/>
        </w:tabs>
        <w:ind w:left="1041"/>
      </w:pPr>
      <w:r>
        <w:rPr>
          <w:rFonts w:ascii="Wingdings 3" w:hAnsi="Wingdings 3"/>
          <w:color w:val="000080"/>
        </w:rPr>
        <w:t></w:t>
      </w:r>
      <w:r>
        <w:rPr>
          <w:rFonts w:ascii="Times New Roman" w:hAnsi="Times New Roman"/>
          <w:color w:val="000080"/>
        </w:rPr>
        <w:tab/>
      </w:r>
      <w:r>
        <w:rPr>
          <w:color w:val="000080"/>
        </w:rPr>
        <w:t>The Leader of the</w:t>
      </w:r>
      <w:r>
        <w:rPr>
          <w:color w:val="000080"/>
          <w:spacing w:val="-6"/>
        </w:rPr>
        <w:t> </w:t>
      </w:r>
      <w:r>
        <w:rPr>
          <w:color w:val="000080"/>
        </w:rPr>
        <w:t>Opposition</w:t>
      </w:r>
    </w:p>
    <w:p>
      <w:pPr>
        <w:pStyle w:val="BodyText"/>
        <w:tabs>
          <w:tab w:pos="1401" w:val="left" w:leader="none"/>
        </w:tabs>
        <w:spacing w:before="119"/>
        <w:ind w:left="1041"/>
      </w:pPr>
      <w:r>
        <w:rPr>
          <w:rFonts w:ascii="Wingdings 3" w:hAnsi="Wingdings 3"/>
          <w:color w:val="000080"/>
        </w:rPr>
        <w:t></w:t>
      </w:r>
      <w:r>
        <w:rPr>
          <w:rFonts w:ascii="Times New Roman" w:hAnsi="Times New Roman"/>
          <w:color w:val="000080"/>
        </w:rPr>
        <w:tab/>
      </w:r>
      <w:r>
        <w:rPr>
          <w:color w:val="000080"/>
        </w:rPr>
        <w:t>Members of the Opposition,</w:t>
      </w:r>
      <w:r>
        <w:rPr>
          <w:color w:val="000080"/>
          <w:spacing w:val="-7"/>
        </w:rPr>
        <w:t> </w:t>
      </w:r>
      <w:r>
        <w:rPr>
          <w:color w:val="000080"/>
        </w:rPr>
        <w:t>and</w:t>
      </w:r>
    </w:p>
    <w:p>
      <w:pPr>
        <w:pStyle w:val="BodyText"/>
        <w:tabs>
          <w:tab w:pos="1401" w:val="left" w:leader="none"/>
        </w:tabs>
        <w:spacing w:before="121"/>
        <w:ind w:left="1041"/>
      </w:pPr>
      <w:r>
        <w:rPr>
          <w:rFonts w:ascii="Wingdings 3" w:hAnsi="Wingdings 3"/>
          <w:color w:val="000080"/>
        </w:rPr>
        <w:t></w:t>
      </w:r>
      <w:r>
        <w:rPr>
          <w:rFonts w:ascii="Times New Roman" w:hAnsi="Times New Roman"/>
          <w:color w:val="000080"/>
        </w:rPr>
        <w:tab/>
      </w:r>
      <w:r>
        <w:rPr>
          <w:color w:val="000080"/>
        </w:rPr>
        <w:t>Other</w:t>
      </w:r>
      <w:r>
        <w:rPr>
          <w:color w:val="000080"/>
          <w:spacing w:val="-1"/>
        </w:rPr>
        <w:t> </w:t>
      </w:r>
      <w:r>
        <w:rPr>
          <w:color w:val="000080"/>
        </w:rPr>
        <w:t>MPs</w:t>
      </w:r>
    </w:p>
    <w:p>
      <w:pPr>
        <w:pStyle w:val="BodyText"/>
        <w:tabs>
          <w:tab w:pos="681" w:val="left" w:leader="none"/>
        </w:tabs>
        <w:spacing w:before="120"/>
        <w:ind w:left="321"/>
      </w:pPr>
      <w:r>
        <w:rPr>
          <w:rFonts w:ascii="Wingdings 3" w:hAnsi="Wingdings 3"/>
          <w:color w:val="000080"/>
        </w:rPr>
        <w:t></w:t>
      </w:r>
      <w:r>
        <w:rPr>
          <w:rFonts w:ascii="Times New Roman" w:hAnsi="Times New Roman"/>
          <w:color w:val="000080"/>
        </w:rPr>
        <w:tab/>
      </w:r>
      <w:r>
        <w:rPr>
          <w:color w:val="000080"/>
        </w:rPr>
        <w:t>Statutory office</w:t>
      </w:r>
      <w:r>
        <w:rPr>
          <w:color w:val="000080"/>
          <w:spacing w:val="-3"/>
        </w:rPr>
        <w:t> </w:t>
      </w:r>
      <w:r>
        <w:rPr>
          <w:color w:val="000080"/>
        </w:rPr>
        <w:t>holders</w:t>
      </w:r>
    </w:p>
    <w:p>
      <w:pPr>
        <w:pStyle w:val="BodyText"/>
        <w:tabs>
          <w:tab w:pos="681" w:val="left" w:leader="none"/>
        </w:tabs>
        <w:spacing w:before="121"/>
        <w:ind w:left="681" w:right="38" w:hanging="360"/>
      </w:pPr>
      <w:r>
        <w:rPr>
          <w:rFonts w:ascii="Wingdings 3" w:hAnsi="Wingdings 3"/>
          <w:color w:val="000080"/>
        </w:rPr>
        <w:t></w:t>
      </w:r>
      <w:r>
        <w:rPr>
          <w:rFonts w:ascii="Times New Roman" w:hAnsi="Times New Roman"/>
          <w:color w:val="000080"/>
        </w:rPr>
        <w:tab/>
      </w:r>
      <w:r>
        <w:rPr>
          <w:color w:val="000080"/>
        </w:rPr>
        <w:t>A chief executive of a department of government</w:t>
      </w:r>
      <w:r>
        <w:rPr>
          <w:color w:val="000080"/>
          <w:spacing w:val="-23"/>
        </w:rPr>
        <w:t> </w:t>
      </w:r>
      <w:r>
        <w:rPr>
          <w:color w:val="000080"/>
        </w:rPr>
        <w:t>or public service</w:t>
      </w:r>
      <w:r>
        <w:rPr>
          <w:color w:val="000080"/>
          <w:spacing w:val="-4"/>
        </w:rPr>
        <w:t> </w:t>
      </w:r>
      <w:r>
        <w:rPr>
          <w:color w:val="000080"/>
        </w:rPr>
        <w:t>office</w:t>
      </w:r>
    </w:p>
    <w:p>
      <w:pPr>
        <w:pStyle w:val="BodyText"/>
        <w:tabs>
          <w:tab w:pos="681" w:val="left" w:leader="none"/>
        </w:tabs>
        <w:spacing w:before="119"/>
        <w:ind w:left="321"/>
      </w:pPr>
      <w:r>
        <w:rPr>
          <w:rFonts w:ascii="Wingdings 3" w:hAnsi="Wingdings 3"/>
          <w:color w:val="000080"/>
        </w:rPr>
        <w:t></w:t>
      </w:r>
      <w:r>
        <w:rPr>
          <w:rFonts w:ascii="Times New Roman" w:hAnsi="Times New Roman"/>
          <w:color w:val="000080"/>
        </w:rPr>
        <w:tab/>
      </w:r>
      <w:r>
        <w:rPr>
          <w:color w:val="000080"/>
        </w:rPr>
        <w:t>A senior executive or senior officer (public</w:t>
      </w:r>
      <w:r>
        <w:rPr>
          <w:color w:val="000080"/>
          <w:spacing w:val="-20"/>
        </w:rPr>
        <w:t> </w:t>
      </w:r>
      <w:r>
        <w:rPr>
          <w:color w:val="000080"/>
        </w:rPr>
        <w:t>service)</w:t>
      </w:r>
    </w:p>
    <w:p>
      <w:pPr>
        <w:pStyle w:val="BodyText"/>
        <w:tabs>
          <w:tab w:pos="681" w:val="left" w:leader="none"/>
        </w:tabs>
        <w:spacing w:before="121"/>
        <w:ind w:left="681" w:right="326" w:hanging="360"/>
      </w:pPr>
      <w:r>
        <w:rPr>
          <w:rFonts w:ascii="Wingdings 3" w:hAnsi="Wingdings 3"/>
          <w:color w:val="000080"/>
        </w:rPr>
        <w:t></w:t>
      </w:r>
      <w:r>
        <w:rPr>
          <w:rFonts w:ascii="Times New Roman" w:hAnsi="Times New Roman"/>
          <w:color w:val="000080"/>
        </w:rPr>
        <w:tab/>
      </w:r>
      <w:r>
        <w:rPr>
          <w:color w:val="000080"/>
        </w:rPr>
        <w:t>A chief executive of, or senior officer equivalent employed in, a government entity nominated</w:t>
      </w:r>
      <w:r>
        <w:rPr>
          <w:color w:val="000080"/>
          <w:spacing w:val="-20"/>
        </w:rPr>
        <w:t> </w:t>
      </w:r>
      <w:r>
        <w:rPr>
          <w:color w:val="000080"/>
        </w:rPr>
        <w:t>by</w:t>
      </w:r>
    </w:p>
    <w:p>
      <w:pPr>
        <w:pStyle w:val="BodyText"/>
        <w:spacing w:line="44" w:lineRule="exact"/>
        <w:ind w:left="659" w:right="497"/>
        <w:jc w:val="center"/>
      </w:pPr>
      <w:r>
        <w:rPr>
          <w:color w:val="000080"/>
        </w:rPr>
        <w:t>the Minister responsible for administering the</w:t>
      </w:r>
    </w:p>
    <w:p>
      <w:pPr>
        <w:spacing w:before="0"/>
        <w:ind w:left="1531" w:right="0" w:firstLine="0"/>
        <w:jc w:val="left"/>
        <w:rPr>
          <w:rFonts w:ascii="Gill Sans MT"/>
          <w:sz w:val="72"/>
        </w:rPr>
      </w:pPr>
      <w:r>
        <w:rPr/>
        <w:br w:type="column"/>
      </w:r>
      <w:r>
        <w:rPr>
          <w:rFonts w:ascii="Gill Sans MT"/>
          <w:color w:val="FFBB00"/>
          <w:sz w:val="72"/>
        </w:rPr>
        <w:t>16</w:t>
      </w:r>
    </w:p>
    <w:p>
      <w:pPr>
        <w:pStyle w:val="BodyText"/>
        <w:spacing w:before="318"/>
        <w:ind w:left="379" w:right="179"/>
      </w:pPr>
      <w:r>
        <w:rPr/>
        <w:drawing>
          <wp:anchor distT="0" distB="0" distL="0" distR="0" allowOverlap="1" layoutInCell="1" locked="0" behindDoc="0" simplePos="0" relativeHeight="1384">
            <wp:simplePos x="0" y="0"/>
            <wp:positionH relativeFrom="page">
              <wp:posOffset>3791965</wp:posOffset>
            </wp:positionH>
            <wp:positionV relativeFrom="paragraph">
              <wp:posOffset>-605644</wp:posOffset>
            </wp:positionV>
            <wp:extent cx="731520" cy="731520"/>
            <wp:effectExtent l="0" t="0" r="0" b="0"/>
            <wp:wrapNone/>
            <wp:docPr id="13" name="image14.png" descr=""/>
            <wp:cNvGraphicFramePr>
              <a:graphicFrameLocks noChangeAspect="1"/>
            </wp:cNvGraphicFramePr>
            <a:graphic>
              <a:graphicData uri="http://schemas.openxmlformats.org/drawingml/2006/picture">
                <pic:pic>
                  <pic:nvPicPr>
                    <pic:cNvPr id="14" name="image14.png"/>
                    <pic:cNvPicPr/>
                  </pic:nvPicPr>
                  <pic:blipFill>
                    <a:blip r:embed="rId19" cstate="print"/>
                    <a:stretch>
                      <a:fillRect/>
                    </a:stretch>
                  </pic:blipFill>
                  <pic:spPr>
                    <a:xfrm>
                      <a:off x="0" y="0"/>
                      <a:ext cx="731520" cy="731520"/>
                    </a:xfrm>
                    <a:prstGeom prst="rect">
                      <a:avLst/>
                    </a:prstGeom>
                  </pic:spPr>
                </pic:pic>
              </a:graphicData>
            </a:graphic>
          </wp:anchor>
        </w:drawing>
      </w:r>
      <w:r>
        <w:rPr>
          <w:color w:val="FFBB00"/>
        </w:rPr>
        <w:t>enquiries about lobbying matters</w:t>
      </w:r>
    </w:p>
    <w:p>
      <w:pPr>
        <w:pStyle w:val="BodyText"/>
      </w:pPr>
    </w:p>
    <w:p>
      <w:pPr>
        <w:pStyle w:val="BodyText"/>
      </w:pPr>
    </w:p>
    <w:p>
      <w:pPr>
        <w:pStyle w:val="BodyText"/>
      </w:pPr>
    </w:p>
    <w:p>
      <w:pPr>
        <w:pStyle w:val="BodyText"/>
      </w:pPr>
    </w:p>
    <w:p>
      <w:pPr>
        <w:spacing w:before="166"/>
        <w:ind w:left="499" w:right="0" w:firstLine="0"/>
        <w:jc w:val="left"/>
        <w:rPr>
          <w:rFonts w:ascii="Gill Sans MT"/>
          <w:sz w:val="17"/>
        </w:rPr>
      </w:pPr>
      <w:r>
        <w:rPr>
          <w:rFonts w:ascii="Gill Sans MT"/>
          <w:color w:val="FF6621"/>
          <w:w w:val="105"/>
          <w:sz w:val="22"/>
        </w:rPr>
        <w:t>G</w:t>
      </w:r>
      <w:r>
        <w:rPr>
          <w:rFonts w:ascii="Gill Sans MT"/>
          <w:color w:val="FF6621"/>
          <w:w w:val="105"/>
          <w:sz w:val="17"/>
        </w:rPr>
        <w:t>ENERAL </w:t>
      </w:r>
      <w:r>
        <w:rPr>
          <w:rFonts w:ascii="Gill Sans MT"/>
          <w:color w:val="FF6621"/>
          <w:w w:val="105"/>
          <w:sz w:val="22"/>
        </w:rPr>
        <w:t>I</w:t>
      </w:r>
      <w:r>
        <w:rPr>
          <w:rFonts w:ascii="Gill Sans MT"/>
          <w:color w:val="FF6621"/>
          <w:w w:val="105"/>
          <w:sz w:val="17"/>
        </w:rPr>
        <w:t>NFORMATION</w:t>
      </w:r>
    </w:p>
    <w:p>
      <w:pPr>
        <w:pStyle w:val="Heading1"/>
        <w:ind w:left="1111"/>
      </w:pPr>
      <w:r>
        <w:rPr/>
        <w:br w:type="column"/>
      </w:r>
      <w:r>
        <w:rPr>
          <w:color w:val="FFBB00"/>
          <w:spacing w:val="-1"/>
        </w:rPr>
        <w:t>100%</w:t>
      </w:r>
    </w:p>
    <w:p>
      <w:pPr>
        <w:pStyle w:val="BodyText"/>
        <w:spacing w:before="318"/>
        <w:ind w:left="323"/>
      </w:pPr>
      <w:r>
        <w:rPr/>
        <w:drawing>
          <wp:anchor distT="0" distB="0" distL="0" distR="0" allowOverlap="1" layoutInCell="1" locked="0" behindDoc="0" simplePos="0" relativeHeight="1360">
            <wp:simplePos x="0" y="0"/>
            <wp:positionH relativeFrom="page">
              <wp:posOffset>5487034</wp:posOffset>
            </wp:positionH>
            <wp:positionV relativeFrom="paragraph">
              <wp:posOffset>-556876</wp:posOffset>
            </wp:positionV>
            <wp:extent cx="497839" cy="633984"/>
            <wp:effectExtent l="0" t="0" r="0" b="0"/>
            <wp:wrapNone/>
            <wp:docPr id="15" name="image15.png" descr=""/>
            <wp:cNvGraphicFramePr>
              <a:graphicFrameLocks noChangeAspect="1"/>
            </wp:cNvGraphicFramePr>
            <a:graphic>
              <a:graphicData uri="http://schemas.openxmlformats.org/drawingml/2006/picture">
                <pic:pic>
                  <pic:nvPicPr>
                    <pic:cNvPr id="16" name="image15.png"/>
                    <pic:cNvPicPr/>
                  </pic:nvPicPr>
                  <pic:blipFill>
                    <a:blip r:embed="rId20" cstate="print"/>
                    <a:stretch>
                      <a:fillRect/>
                    </a:stretch>
                  </pic:blipFill>
                  <pic:spPr>
                    <a:xfrm>
                      <a:off x="0" y="0"/>
                      <a:ext cx="497839" cy="633984"/>
                    </a:xfrm>
                    <a:prstGeom prst="rect">
                      <a:avLst/>
                    </a:prstGeom>
                  </pic:spPr>
                </pic:pic>
              </a:graphicData>
            </a:graphic>
          </wp:anchor>
        </w:drawing>
      </w:r>
      <w:r>
        <w:rPr>
          <w:color w:val="FFBB00"/>
        </w:rPr>
        <w:t>of entities audited and</w:t>
      </w:r>
      <w:r>
        <w:rPr>
          <w:color w:val="FFBB00"/>
          <w:spacing w:val="-16"/>
        </w:rPr>
        <w:t> </w:t>
      </w:r>
      <w:r>
        <w:rPr>
          <w:color w:val="FFBB00"/>
        </w:rPr>
        <w:t>up</w:t>
      </w:r>
    </w:p>
    <w:p>
      <w:pPr>
        <w:pStyle w:val="BodyText"/>
        <w:spacing w:before="1"/>
        <w:ind w:left="323" w:right="290"/>
      </w:pPr>
      <w:r>
        <w:rPr>
          <w:color w:val="FFBB00"/>
        </w:rPr>
        <w:t>-to-date with compliance and contact details</w:t>
      </w:r>
    </w:p>
    <w:p>
      <w:pPr>
        <w:spacing w:before="0"/>
        <w:ind w:left="1407" w:right="0" w:firstLine="0"/>
        <w:jc w:val="left"/>
        <w:rPr>
          <w:rFonts w:ascii="Gill Sans MT"/>
          <w:sz w:val="72"/>
        </w:rPr>
      </w:pPr>
      <w:r>
        <w:rPr/>
        <w:br w:type="column"/>
      </w:r>
      <w:r>
        <w:rPr>
          <w:rFonts w:ascii="Gill Sans MT"/>
          <w:color w:val="00A1E4"/>
          <w:sz w:val="72"/>
        </w:rPr>
        <w:t>60</w:t>
      </w:r>
    </w:p>
    <w:p>
      <w:pPr>
        <w:pStyle w:val="BodyText"/>
        <w:spacing w:before="318"/>
        <w:ind w:left="255" w:right="17"/>
      </w:pPr>
      <w:r>
        <w:rPr/>
        <w:drawing>
          <wp:anchor distT="0" distB="0" distL="0" distR="0" allowOverlap="1" layoutInCell="1" locked="0" behindDoc="0" simplePos="0" relativeHeight="1312">
            <wp:simplePos x="0" y="0"/>
            <wp:positionH relativeFrom="page">
              <wp:posOffset>7134859</wp:posOffset>
            </wp:positionH>
            <wp:positionV relativeFrom="paragraph">
              <wp:posOffset>-605644</wp:posOffset>
            </wp:positionV>
            <wp:extent cx="731520" cy="731520"/>
            <wp:effectExtent l="0" t="0" r="0" b="0"/>
            <wp:wrapNone/>
            <wp:docPr id="17" name="image16.png" descr=""/>
            <wp:cNvGraphicFramePr>
              <a:graphicFrameLocks noChangeAspect="1"/>
            </wp:cNvGraphicFramePr>
            <a:graphic>
              <a:graphicData uri="http://schemas.openxmlformats.org/drawingml/2006/picture">
                <pic:pic>
                  <pic:nvPicPr>
                    <pic:cNvPr id="18" name="image16.png"/>
                    <pic:cNvPicPr/>
                  </pic:nvPicPr>
                  <pic:blipFill>
                    <a:blip r:embed="rId21" cstate="print"/>
                    <a:stretch>
                      <a:fillRect/>
                    </a:stretch>
                  </pic:blipFill>
                  <pic:spPr>
                    <a:xfrm>
                      <a:off x="0" y="0"/>
                      <a:ext cx="731520" cy="731520"/>
                    </a:xfrm>
                    <a:prstGeom prst="rect">
                      <a:avLst/>
                    </a:prstGeom>
                  </pic:spPr>
                </pic:pic>
              </a:graphicData>
            </a:graphic>
          </wp:anchor>
        </w:drawing>
      </w:r>
      <w:r>
        <w:rPr>
          <w:color w:val="00A1E4"/>
        </w:rPr>
        <w:t>education workshops and information sessions run state-wide</w:t>
      </w:r>
    </w:p>
    <w:p>
      <w:pPr>
        <w:spacing w:before="0"/>
        <w:ind w:left="1473" w:right="0" w:firstLine="0"/>
        <w:jc w:val="left"/>
        <w:rPr>
          <w:rFonts w:ascii="Gill Sans MT"/>
          <w:sz w:val="72"/>
        </w:rPr>
      </w:pPr>
      <w:r>
        <w:rPr/>
        <w:br w:type="column"/>
      </w:r>
      <w:r>
        <w:rPr>
          <w:rFonts w:ascii="Gill Sans MT"/>
          <w:color w:val="00A1E4"/>
          <w:sz w:val="72"/>
        </w:rPr>
        <w:t>125</w:t>
      </w:r>
    </w:p>
    <w:p>
      <w:pPr>
        <w:pStyle w:val="BodyText"/>
        <w:spacing w:before="318"/>
        <w:ind w:left="321" w:right="624"/>
      </w:pPr>
      <w:r>
        <w:rPr/>
        <w:drawing>
          <wp:anchor distT="0" distB="0" distL="0" distR="0" allowOverlap="1" layoutInCell="1" locked="0" behindDoc="0" simplePos="0" relativeHeight="1336">
            <wp:simplePos x="0" y="0"/>
            <wp:positionH relativeFrom="page">
              <wp:posOffset>8813038</wp:posOffset>
            </wp:positionH>
            <wp:positionV relativeFrom="paragraph">
              <wp:posOffset>-532492</wp:posOffset>
            </wp:positionV>
            <wp:extent cx="624331" cy="585215"/>
            <wp:effectExtent l="0" t="0" r="0" b="0"/>
            <wp:wrapNone/>
            <wp:docPr id="19" name="image17.png" descr=""/>
            <wp:cNvGraphicFramePr>
              <a:graphicFrameLocks noChangeAspect="1"/>
            </wp:cNvGraphicFramePr>
            <a:graphic>
              <a:graphicData uri="http://schemas.openxmlformats.org/drawingml/2006/picture">
                <pic:pic>
                  <pic:nvPicPr>
                    <pic:cNvPr id="20" name="image17.png"/>
                    <pic:cNvPicPr/>
                  </pic:nvPicPr>
                  <pic:blipFill>
                    <a:blip r:embed="rId22" cstate="print"/>
                    <a:stretch>
                      <a:fillRect/>
                    </a:stretch>
                  </pic:blipFill>
                  <pic:spPr>
                    <a:xfrm>
                      <a:off x="0" y="0"/>
                      <a:ext cx="624331" cy="585215"/>
                    </a:xfrm>
                    <a:prstGeom prst="rect">
                      <a:avLst/>
                    </a:prstGeom>
                  </pic:spPr>
                </pic:pic>
              </a:graphicData>
            </a:graphic>
          </wp:anchor>
        </w:drawing>
      </w:r>
      <w:r>
        <w:rPr>
          <w:color w:val="00A1E4"/>
        </w:rPr>
        <w:t>committees, meetings and events</w:t>
      </w:r>
    </w:p>
    <w:p>
      <w:pPr>
        <w:spacing w:after="0"/>
        <w:sectPr>
          <w:type w:val="continuous"/>
          <w:pgSz w:w="16840" w:h="11910" w:orient="landscape"/>
          <w:pgMar w:top="960" w:bottom="280" w:left="540" w:right="260"/>
          <w:cols w:num="5" w:equalWidth="0">
            <w:col w:w="4940" w:space="170"/>
            <w:col w:w="2599" w:space="70"/>
            <w:col w:w="2679" w:space="40"/>
            <w:col w:w="2382" w:space="118"/>
            <w:col w:w="3042"/>
          </w:cols>
        </w:sectPr>
      </w:pPr>
    </w:p>
    <w:p>
      <w:pPr>
        <w:pStyle w:val="BodyText"/>
        <w:spacing w:before="4"/>
        <w:rPr>
          <w:sz w:val="16"/>
        </w:rPr>
      </w:pPr>
    </w:p>
    <w:p>
      <w:pPr>
        <w:pStyle w:val="BodyText"/>
        <w:ind w:left="681"/>
      </w:pPr>
      <w:r>
        <w:rPr>
          <w:color w:val="000080"/>
        </w:rPr>
        <w:t>entity</w:t>
      </w:r>
    </w:p>
    <w:p>
      <w:pPr>
        <w:pStyle w:val="BodyText"/>
        <w:tabs>
          <w:tab w:pos="681" w:val="left" w:leader="none"/>
        </w:tabs>
        <w:spacing w:before="121"/>
        <w:ind w:left="681" w:right="102" w:hanging="360"/>
      </w:pPr>
      <w:r>
        <w:rPr>
          <w:rFonts w:ascii="Wingdings 3" w:hAnsi="Wingdings 3"/>
          <w:color w:val="000080"/>
        </w:rPr>
        <w:t></w:t>
      </w:r>
      <w:r>
        <w:rPr>
          <w:rFonts w:ascii="Times New Roman" w:hAnsi="Times New Roman"/>
          <w:color w:val="000080"/>
        </w:rPr>
        <w:tab/>
      </w:r>
      <w:r>
        <w:rPr>
          <w:color w:val="000080"/>
        </w:rPr>
        <w:t>A ministerial staff member who gives, or a</w:t>
      </w:r>
      <w:r>
        <w:rPr>
          <w:color w:val="000080"/>
          <w:spacing w:val="-24"/>
        </w:rPr>
        <w:t> </w:t>
      </w:r>
      <w:r>
        <w:rPr>
          <w:color w:val="000080"/>
        </w:rPr>
        <w:t>person engaged to give, advice to a</w:t>
      </w:r>
      <w:r>
        <w:rPr>
          <w:color w:val="000080"/>
          <w:spacing w:val="-5"/>
        </w:rPr>
        <w:t> </w:t>
      </w:r>
      <w:r>
        <w:rPr>
          <w:color w:val="000080"/>
        </w:rPr>
        <w:t>Minister</w:t>
      </w:r>
    </w:p>
    <w:p>
      <w:pPr>
        <w:pStyle w:val="BodyText"/>
        <w:tabs>
          <w:tab w:pos="681" w:val="left" w:leader="none"/>
        </w:tabs>
        <w:spacing w:before="119"/>
        <w:ind w:left="681" w:right="38" w:hanging="360"/>
      </w:pPr>
      <w:r>
        <w:rPr>
          <w:rFonts w:ascii="Wingdings 3" w:hAnsi="Wingdings 3"/>
          <w:color w:val="000080"/>
        </w:rPr>
        <w:t></w:t>
      </w:r>
      <w:r>
        <w:rPr>
          <w:rFonts w:ascii="Times New Roman" w:hAnsi="Times New Roman"/>
          <w:color w:val="000080"/>
        </w:rPr>
        <w:tab/>
      </w:r>
      <w:r>
        <w:rPr>
          <w:color w:val="000080"/>
        </w:rPr>
        <w:t>An assistant minister staff member who gives, or</w:t>
      </w:r>
      <w:r>
        <w:rPr>
          <w:color w:val="000080"/>
          <w:spacing w:val="-28"/>
        </w:rPr>
        <w:t> </w:t>
      </w:r>
      <w:r>
        <w:rPr>
          <w:color w:val="000080"/>
        </w:rPr>
        <w:t>a person engaged to give, advice to an</w:t>
      </w:r>
      <w:r>
        <w:rPr>
          <w:color w:val="000080"/>
          <w:spacing w:val="-9"/>
        </w:rPr>
        <w:t> </w:t>
      </w:r>
      <w:r>
        <w:rPr>
          <w:color w:val="000080"/>
        </w:rPr>
        <w:t>Assistant</w:t>
      </w:r>
    </w:p>
    <w:p>
      <w:pPr>
        <w:pStyle w:val="BodyText"/>
        <w:spacing w:before="1"/>
        <w:ind w:left="681"/>
      </w:pPr>
      <w:r>
        <w:rPr>
          <w:color w:val="000080"/>
        </w:rPr>
        <w:t>Minister</w:t>
      </w:r>
    </w:p>
    <w:p>
      <w:pPr>
        <w:pStyle w:val="BodyText"/>
        <w:tabs>
          <w:tab w:pos="681" w:val="left" w:leader="none"/>
        </w:tabs>
        <w:spacing w:before="118"/>
        <w:ind w:left="321"/>
      </w:pPr>
      <w:r>
        <w:rPr>
          <w:rFonts w:ascii="Wingdings 3" w:hAnsi="Wingdings 3"/>
          <w:color w:val="000080"/>
        </w:rPr>
        <w:t></w:t>
      </w:r>
      <w:r>
        <w:rPr>
          <w:rFonts w:ascii="Times New Roman" w:hAnsi="Times New Roman"/>
          <w:color w:val="000080"/>
        </w:rPr>
        <w:tab/>
      </w:r>
      <w:r>
        <w:rPr>
          <w:color w:val="000080"/>
        </w:rPr>
        <w:t>A person, or class of persons, nominated by</w:t>
      </w:r>
      <w:r>
        <w:rPr>
          <w:color w:val="000080"/>
          <w:spacing w:val="-10"/>
        </w:rPr>
        <w:t> </w:t>
      </w:r>
      <w:r>
        <w:rPr>
          <w:color w:val="000080"/>
        </w:rPr>
        <w:t>a</w:t>
      </w:r>
    </w:p>
    <w:p>
      <w:pPr>
        <w:pStyle w:val="BodyText"/>
        <w:spacing w:before="1"/>
        <w:ind w:left="681" w:right="180"/>
      </w:pPr>
      <w:r>
        <w:rPr>
          <w:color w:val="000080"/>
        </w:rPr>
        <w:t>Minister or Assistant Minister, including, but not limited to, Mayors and Councillors</w:t>
      </w:r>
    </w:p>
    <w:p>
      <w:pPr>
        <w:spacing w:before="241"/>
        <w:ind w:left="381" w:right="0" w:firstLine="0"/>
        <w:jc w:val="left"/>
        <w:rPr>
          <w:rFonts w:ascii="Gill Sans MT"/>
          <w:sz w:val="72"/>
        </w:rPr>
      </w:pPr>
      <w:r>
        <w:rPr/>
        <w:br w:type="column"/>
      </w:r>
      <w:r>
        <w:rPr>
          <w:position w:val="-27"/>
        </w:rPr>
        <w:drawing>
          <wp:inline distT="0" distB="0" distL="0" distR="0">
            <wp:extent cx="585215" cy="633983"/>
            <wp:effectExtent l="0" t="0" r="0" b="0"/>
            <wp:docPr id="21" name="image18.png" descr=""/>
            <wp:cNvGraphicFramePr>
              <a:graphicFrameLocks noChangeAspect="1"/>
            </wp:cNvGraphicFramePr>
            <a:graphic>
              <a:graphicData uri="http://schemas.openxmlformats.org/drawingml/2006/picture">
                <pic:pic>
                  <pic:nvPicPr>
                    <pic:cNvPr id="22" name="image18.png"/>
                    <pic:cNvPicPr/>
                  </pic:nvPicPr>
                  <pic:blipFill>
                    <a:blip r:embed="rId23" cstate="print"/>
                    <a:stretch>
                      <a:fillRect/>
                    </a:stretch>
                  </pic:blipFill>
                  <pic:spPr>
                    <a:xfrm>
                      <a:off x="0" y="0"/>
                      <a:ext cx="585215" cy="633983"/>
                    </a:xfrm>
                    <a:prstGeom prst="rect">
                      <a:avLst/>
                    </a:prstGeom>
                  </pic:spPr>
                </pic:pic>
              </a:graphicData>
            </a:graphic>
          </wp:inline>
        </w:drawing>
      </w:r>
      <w:r>
        <w:rPr>
          <w:position w:val="-27"/>
        </w:rPr>
      </w:r>
      <w:r>
        <w:rPr>
          <w:rFonts w:ascii="Times New Roman"/>
          <w:sz w:val="20"/>
        </w:rPr>
        <w:t>  </w:t>
      </w:r>
      <w:r>
        <w:rPr>
          <w:rFonts w:ascii="Times New Roman"/>
          <w:spacing w:val="20"/>
          <w:sz w:val="20"/>
        </w:rPr>
        <w:t> </w:t>
      </w:r>
      <w:r>
        <w:rPr>
          <w:rFonts w:ascii="Gill Sans MT"/>
          <w:color w:val="808080"/>
          <w:sz w:val="72"/>
        </w:rPr>
        <w:t>33</w:t>
      </w:r>
    </w:p>
    <w:p>
      <w:pPr>
        <w:pStyle w:val="BodyText"/>
        <w:spacing w:before="201"/>
        <w:ind w:left="321" w:right="31"/>
      </w:pPr>
      <w:r>
        <w:rPr>
          <w:color w:val="808080"/>
        </w:rPr>
        <w:t>enquiries from non- designated persons (members of the</w:t>
      </w:r>
      <w:r>
        <w:rPr>
          <w:color w:val="808080"/>
          <w:spacing w:val="-15"/>
        </w:rPr>
        <w:t> </w:t>
      </w:r>
      <w:r>
        <w:rPr>
          <w:color w:val="808080"/>
        </w:rPr>
        <w:t>public)</w:t>
      </w:r>
    </w:p>
    <w:p>
      <w:pPr>
        <w:spacing w:before="287"/>
        <w:ind w:left="407" w:right="0" w:firstLine="0"/>
        <w:jc w:val="left"/>
        <w:rPr>
          <w:rFonts w:ascii="Gill Sans MT"/>
          <w:sz w:val="72"/>
        </w:rPr>
      </w:pPr>
      <w:r>
        <w:rPr/>
        <w:br w:type="column"/>
      </w:r>
      <w:r>
        <w:rPr>
          <w:position w:val="-20"/>
        </w:rPr>
        <w:drawing>
          <wp:inline distT="0" distB="0" distL="0" distR="0">
            <wp:extent cx="556260" cy="546607"/>
            <wp:effectExtent l="0" t="0" r="0" b="0"/>
            <wp:docPr id="23" name="image19.png" descr=""/>
            <wp:cNvGraphicFramePr>
              <a:graphicFrameLocks noChangeAspect="1"/>
            </wp:cNvGraphicFramePr>
            <a:graphic>
              <a:graphicData uri="http://schemas.openxmlformats.org/drawingml/2006/picture">
                <pic:pic>
                  <pic:nvPicPr>
                    <pic:cNvPr id="24" name="image19.png"/>
                    <pic:cNvPicPr/>
                  </pic:nvPicPr>
                  <pic:blipFill>
                    <a:blip r:embed="rId24" cstate="print"/>
                    <a:stretch>
                      <a:fillRect/>
                    </a:stretch>
                  </pic:blipFill>
                  <pic:spPr>
                    <a:xfrm>
                      <a:off x="0" y="0"/>
                      <a:ext cx="556260" cy="546607"/>
                    </a:xfrm>
                    <a:prstGeom prst="rect">
                      <a:avLst/>
                    </a:prstGeom>
                  </pic:spPr>
                </pic:pic>
              </a:graphicData>
            </a:graphic>
          </wp:inline>
        </w:drawing>
      </w:r>
      <w:r>
        <w:rPr>
          <w:position w:val="-20"/>
        </w:rPr>
      </w:r>
      <w:r>
        <w:rPr>
          <w:rFonts w:ascii="Times New Roman"/>
          <w:sz w:val="20"/>
        </w:rPr>
        <w:t>   </w:t>
      </w:r>
      <w:r>
        <w:rPr>
          <w:rFonts w:ascii="Times New Roman"/>
          <w:spacing w:val="-10"/>
          <w:sz w:val="20"/>
        </w:rPr>
        <w:t> </w:t>
      </w:r>
      <w:r>
        <w:rPr>
          <w:rFonts w:ascii="Gill Sans MT"/>
          <w:color w:val="808080"/>
          <w:sz w:val="72"/>
        </w:rPr>
        <w:t>10</w:t>
      </w:r>
    </w:p>
    <w:p>
      <w:pPr>
        <w:pStyle w:val="BodyText"/>
        <w:spacing w:before="271"/>
        <w:ind w:left="321"/>
      </w:pPr>
      <w:r>
        <w:rPr>
          <w:color w:val="808080"/>
        </w:rPr>
        <w:t>media and</w:t>
      </w:r>
      <w:r>
        <w:rPr>
          <w:color w:val="808080"/>
          <w:spacing w:val="-5"/>
        </w:rPr>
        <w:t> </w:t>
      </w:r>
      <w:r>
        <w:rPr>
          <w:color w:val="808080"/>
        </w:rPr>
        <w:t>right-to-</w:t>
      </w:r>
    </w:p>
    <w:p>
      <w:pPr>
        <w:pStyle w:val="BodyText"/>
        <w:ind w:left="321"/>
      </w:pPr>
      <w:r>
        <w:rPr>
          <w:color w:val="808080"/>
        </w:rPr>
        <w:t>information enquiries</w:t>
      </w:r>
    </w:p>
    <w:p>
      <w:pPr>
        <w:spacing w:before="0"/>
        <w:ind w:left="1551" w:right="704" w:firstLine="0"/>
        <w:jc w:val="left"/>
        <w:rPr>
          <w:rFonts w:ascii="Gill Sans MT"/>
          <w:i/>
          <w:sz w:val="52"/>
        </w:rPr>
      </w:pPr>
      <w:r>
        <w:rPr/>
        <w:br w:type="column"/>
      </w:r>
      <w:r>
        <w:rPr>
          <w:rFonts w:ascii="Gill Sans MT"/>
          <w:color w:val="808080"/>
          <w:sz w:val="52"/>
        </w:rPr>
        <w:t>Amendments to the </w:t>
      </w:r>
      <w:r>
        <w:rPr>
          <w:rFonts w:ascii="Gill Sans MT"/>
          <w:i/>
          <w:color w:val="808080"/>
          <w:sz w:val="52"/>
        </w:rPr>
        <w:t>Integrity Act</w:t>
      </w:r>
    </w:p>
    <w:p>
      <w:pPr>
        <w:pStyle w:val="BodyText"/>
        <w:tabs>
          <w:tab w:pos="747" w:val="left" w:leader="none"/>
        </w:tabs>
        <w:spacing w:before="234"/>
        <w:ind w:left="747" w:right="540" w:hanging="360"/>
      </w:pPr>
      <w:r>
        <w:rPr/>
        <w:drawing>
          <wp:anchor distT="0" distB="0" distL="0" distR="0" allowOverlap="1" layoutInCell="1" locked="0" behindDoc="0" simplePos="0" relativeHeight="1408">
            <wp:simplePos x="0" y="0"/>
            <wp:positionH relativeFrom="page">
              <wp:posOffset>7122032</wp:posOffset>
            </wp:positionH>
            <wp:positionV relativeFrom="paragraph">
              <wp:posOffset>-662032</wp:posOffset>
            </wp:positionV>
            <wp:extent cx="731520" cy="731520"/>
            <wp:effectExtent l="0" t="0" r="0" b="0"/>
            <wp:wrapNone/>
            <wp:docPr id="25" name="image20.png" descr=""/>
            <wp:cNvGraphicFramePr>
              <a:graphicFrameLocks noChangeAspect="1"/>
            </wp:cNvGraphicFramePr>
            <a:graphic>
              <a:graphicData uri="http://schemas.openxmlformats.org/drawingml/2006/picture">
                <pic:pic>
                  <pic:nvPicPr>
                    <pic:cNvPr id="26" name="image20.png"/>
                    <pic:cNvPicPr/>
                  </pic:nvPicPr>
                  <pic:blipFill>
                    <a:blip r:embed="rId25" cstate="print"/>
                    <a:stretch>
                      <a:fillRect/>
                    </a:stretch>
                  </pic:blipFill>
                  <pic:spPr>
                    <a:xfrm>
                      <a:off x="0" y="0"/>
                      <a:ext cx="731520" cy="731520"/>
                    </a:xfrm>
                    <a:prstGeom prst="rect">
                      <a:avLst/>
                    </a:prstGeom>
                  </pic:spPr>
                </pic:pic>
              </a:graphicData>
            </a:graphic>
          </wp:anchor>
        </w:drawing>
      </w:r>
      <w:r>
        <w:rPr>
          <w:rFonts w:ascii="Wingdings 3" w:hAnsi="Wingdings 3"/>
          <w:color w:val="808080"/>
        </w:rPr>
        <w:t></w:t>
      </w:r>
      <w:r>
        <w:rPr>
          <w:rFonts w:ascii="Times New Roman" w:hAnsi="Times New Roman"/>
          <w:color w:val="808080"/>
        </w:rPr>
        <w:tab/>
      </w:r>
      <w:r>
        <w:rPr>
          <w:color w:val="808080"/>
        </w:rPr>
        <w:t>Former designated persons may now seek advice</w:t>
      </w:r>
      <w:r>
        <w:rPr>
          <w:color w:val="808080"/>
          <w:spacing w:val="-21"/>
        </w:rPr>
        <w:t> </w:t>
      </w:r>
      <w:r>
        <w:rPr>
          <w:color w:val="808080"/>
        </w:rPr>
        <w:t>with respect to post separation obligations for</w:t>
      </w:r>
      <w:r>
        <w:rPr>
          <w:color w:val="808080"/>
          <w:spacing w:val="-11"/>
        </w:rPr>
        <w:t> </w:t>
      </w:r>
      <w:r>
        <w:rPr>
          <w:color w:val="808080"/>
        </w:rPr>
        <w:t>periods</w:t>
      </w:r>
    </w:p>
    <w:p>
      <w:pPr>
        <w:pStyle w:val="BodyText"/>
        <w:spacing w:line="243" w:lineRule="exact"/>
        <w:ind w:left="747"/>
      </w:pPr>
      <w:r>
        <w:rPr>
          <w:color w:val="808080"/>
        </w:rPr>
        <w:t>ranging from two years to 18 months.</w:t>
      </w:r>
    </w:p>
    <w:p>
      <w:pPr>
        <w:pStyle w:val="BodyText"/>
        <w:tabs>
          <w:tab w:pos="747" w:val="left" w:leader="none"/>
        </w:tabs>
        <w:spacing w:before="121"/>
        <w:ind w:left="747" w:right="853" w:hanging="360"/>
      </w:pPr>
      <w:r>
        <w:rPr>
          <w:rFonts w:ascii="Wingdings 3" w:hAnsi="Wingdings 3"/>
          <w:color w:val="808080"/>
        </w:rPr>
        <w:t></w:t>
      </w:r>
      <w:r>
        <w:rPr>
          <w:rFonts w:ascii="Times New Roman" w:hAnsi="Times New Roman"/>
          <w:color w:val="808080"/>
        </w:rPr>
        <w:tab/>
      </w:r>
      <w:r>
        <w:rPr>
          <w:color w:val="808080"/>
        </w:rPr>
        <w:t>Senior executive and senior officers may now</w:t>
      </w:r>
      <w:r>
        <w:rPr>
          <w:color w:val="808080"/>
          <w:spacing w:val="-29"/>
        </w:rPr>
        <w:t> </w:t>
      </w:r>
      <w:r>
        <w:rPr>
          <w:color w:val="808080"/>
        </w:rPr>
        <w:t>seek advice without first obtaining approval from their chief</w:t>
      </w:r>
      <w:r>
        <w:rPr>
          <w:color w:val="808080"/>
          <w:spacing w:val="-3"/>
        </w:rPr>
        <w:t> </w:t>
      </w:r>
      <w:r>
        <w:rPr>
          <w:color w:val="808080"/>
        </w:rPr>
        <w:t>executive.</w:t>
      </w:r>
    </w:p>
    <w:p>
      <w:pPr>
        <w:spacing w:after="0"/>
        <w:sectPr>
          <w:type w:val="continuous"/>
          <w:pgSz w:w="16840" w:h="11910" w:orient="landscape"/>
          <w:pgMar w:top="960" w:bottom="280" w:left="540" w:right="260"/>
          <w:cols w:num="4" w:equalWidth="0">
            <w:col w:w="4815" w:space="366"/>
            <w:col w:w="2316" w:space="299"/>
            <w:col w:w="2235" w:space="324"/>
            <w:col w:w="5685"/>
          </w:cols>
        </w:sectPr>
      </w:pPr>
    </w:p>
    <w:p>
      <w:pPr>
        <w:spacing w:before="78"/>
        <w:ind w:left="227" w:right="0" w:firstLine="0"/>
        <w:jc w:val="left"/>
        <w:rPr>
          <w:rFonts w:ascii="Gill Sans MT" w:hAnsi="Gill Sans MT"/>
          <w:sz w:val="32"/>
        </w:rPr>
      </w:pPr>
      <w:r>
        <w:rPr/>
        <w:pict>
          <v:group style="position:absolute;margin-left:301.970001pt;margin-top:31.217178pt;width:503.4pt;height:100.8pt;mso-position-horizontal-relative:page;mso-position-vertical-relative:paragraph;z-index:1576" coordorigin="6039,624" coordsize="10068,2016">
            <v:rect style="position:absolute;left:6039;top:624;width:10068;height:2016" filled="true" fillcolor="#d4f1eb" stroked="false">
              <v:fill opacity="49087f" type="solid"/>
            </v:rect>
            <v:shape style="position:absolute;left:6208;top:874;width:839;height:816" type="#_x0000_t75" stroked="false">
              <v:imagedata r:id="rId26" o:title=""/>
            </v:shape>
            <w10:wrap type="none"/>
          </v:group>
        </w:pict>
      </w:r>
      <w:r>
        <w:rPr/>
        <w:pict>
          <v:group style="position:absolute;margin-left:302.470001pt;margin-top:178.180008pt;width:503.4pt;height:100.8pt;mso-position-horizontal-relative:page;mso-position-vertical-relative:page;z-index:1672" coordorigin="6049,3564" coordsize="10068,2016">
            <v:rect style="position:absolute;left:6049;top:3563;width:10068;height:2016" filled="true" fillcolor="#fff1cc" stroked="false">
              <v:fill opacity="49087f" type="solid"/>
            </v:rect>
            <v:shape style="position:absolute;left:6173;top:3808;width:850;height:823" type="#_x0000_t75" stroked="false">
              <v:imagedata r:id="rId27" o:title=""/>
            </v:shape>
            <v:shape style="position:absolute;left:9591;top:3881;width:6499;height:1419" type="#_x0000_t202" filled="false" stroked="false">
              <v:textbox inset="0,0,0,0">
                <w:txbxContent>
                  <w:p>
                    <w:pPr>
                      <w:tabs>
                        <w:tab w:pos="4526" w:val="left" w:leader="none"/>
                      </w:tabs>
                      <w:spacing w:line="203" w:lineRule="exact" w:before="0"/>
                      <w:ind w:left="2210" w:right="0" w:firstLine="0"/>
                      <w:jc w:val="left"/>
                      <w:rPr>
                        <w:sz w:val="20"/>
                      </w:rPr>
                    </w:pPr>
                    <w:r>
                      <w:rPr>
                        <w:sz w:val="20"/>
                      </w:rPr>
                      <w:t>Ensure our</w:t>
                    </w:r>
                    <w:r>
                      <w:rPr>
                        <w:spacing w:val="-5"/>
                        <w:sz w:val="20"/>
                      </w:rPr>
                      <w:t> </w:t>
                    </w:r>
                    <w:r>
                      <w:rPr>
                        <w:sz w:val="20"/>
                      </w:rPr>
                      <w:t>workforce</w:t>
                    </w:r>
                    <w:r>
                      <w:rPr>
                        <w:spacing w:val="-3"/>
                        <w:sz w:val="20"/>
                      </w:rPr>
                      <w:t> </w:t>
                    </w:r>
                    <w:r>
                      <w:rPr>
                        <w:sz w:val="20"/>
                      </w:rPr>
                      <w:t>is</w:t>
                      <w:tab/>
                      <w:t>Register is</w:t>
                    </w:r>
                    <w:r>
                      <w:rPr>
                        <w:spacing w:val="-5"/>
                        <w:sz w:val="20"/>
                      </w:rPr>
                      <w:t> </w:t>
                    </w:r>
                    <w:r>
                      <w:rPr>
                        <w:sz w:val="20"/>
                      </w:rPr>
                      <w:t>maintained</w:t>
                    </w:r>
                  </w:p>
                  <w:p>
                    <w:pPr>
                      <w:tabs>
                        <w:tab w:pos="1821" w:val="left" w:leader="none"/>
                        <w:tab w:pos="2152" w:val="left" w:leader="none"/>
                        <w:tab w:pos="2233" w:val="left" w:leader="none"/>
                        <w:tab w:pos="4372" w:val="left" w:leader="none"/>
                        <w:tab w:pos="4404" w:val="left" w:leader="none"/>
                      </w:tabs>
                      <w:spacing w:before="0"/>
                      <w:ind w:left="-1" w:right="18" w:firstLine="77"/>
                      <w:jc w:val="center"/>
                      <w:rPr>
                        <w:sz w:val="20"/>
                      </w:rPr>
                    </w:pPr>
                    <w:r>
                      <w:rPr>
                        <w:sz w:val="20"/>
                      </w:rPr>
                      <w:t>Not</w:t>
                    </w:r>
                    <w:r>
                      <w:rPr>
                        <w:spacing w:val="-2"/>
                        <w:sz w:val="20"/>
                      </w:rPr>
                      <w:t> </w:t>
                    </w:r>
                    <w:r>
                      <w:rPr>
                        <w:sz w:val="20"/>
                      </w:rPr>
                      <w:t>maintaining</w:t>
                    </w:r>
                    <w:r>
                      <w:rPr>
                        <w:spacing w:val="-2"/>
                        <w:sz w:val="20"/>
                      </w:rPr>
                      <w:t> </w:t>
                    </w:r>
                    <w:r>
                      <w:rPr>
                        <w:sz w:val="20"/>
                      </w:rPr>
                      <w:t>the</w:t>
                      <w:tab/>
                      <w:tab/>
                      <w:tab/>
                      <w:t>aware of</w:t>
                    </w:r>
                    <w:r>
                      <w:rPr>
                        <w:spacing w:val="-7"/>
                        <w:sz w:val="20"/>
                      </w:rPr>
                      <w:t> </w:t>
                    </w:r>
                    <w:r>
                      <w:rPr>
                        <w:sz w:val="20"/>
                      </w:rPr>
                      <w:t>obligations</w:t>
                    </w:r>
                    <w:r>
                      <w:rPr>
                        <w:spacing w:val="-3"/>
                        <w:sz w:val="20"/>
                      </w:rPr>
                      <w:t> </w:t>
                    </w:r>
                    <w:r>
                      <w:rPr>
                        <w:sz w:val="20"/>
                      </w:rPr>
                      <w:t>to</w:t>
                      <w:tab/>
                      <w:t>and up to date in order</w:t>
                    </w:r>
                    <w:r>
                      <w:rPr>
                        <w:spacing w:val="-8"/>
                        <w:sz w:val="20"/>
                      </w:rPr>
                      <w:t> </w:t>
                    </w:r>
                    <w:r>
                      <w:rPr>
                        <w:sz w:val="20"/>
                      </w:rPr>
                      <w:t>to register</w:t>
                    </w:r>
                    <w:r>
                      <w:rPr>
                        <w:spacing w:val="-3"/>
                        <w:sz w:val="20"/>
                      </w:rPr>
                      <w:t> </w:t>
                    </w:r>
                    <w:r>
                      <w:rPr>
                        <w:sz w:val="20"/>
                      </w:rPr>
                      <w:t>in</w:t>
                    </w:r>
                    <w:r>
                      <w:rPr>
                        <w:spacing w:val="-2"/>
                        <w:sz w:val="20"/>
                      </w:rPr>
                      <w:t> </w:t>
                    </w:r>
                    <w:r>
                      <w:rPr>
                        <w:sz w:val="20"/>
                      </w:rPr>
                      <w:t>accordance</w:t>
                      <w:tab/>
                      <w:tab/>
                      <w:t>maintain register. Ensure oversee lobbyists' contact with</w:t>
                    </w:r>
                    <w:r>
                      <w:rPr>
                        <w:spacing w:val="-3"/>
                        <w:sz w:val="20"/>
                      </w:rPr>
                      <w:t> </w:t>
                    </w:r>
                    <w:r>
                      <w:rPr>
                        <w:sz w:val="20"/>
                      </w:rPr>
                      <w:t>statutory</w:t>
                      <w:tab/>
                      <w:t>processes are in</w:t>
                    </w:r>
                    <w:r>
                      <w:rPr>
                        <w:spacing w:val="-6"/>
                        <w:sz w:val="20"/>
                      </w:rPr>
                      <w:t> </w:t>
                    </w:r>
                    <w:r>
                      <w:rPr>
                        <w:sz w:val="20"/>
                      </w:rPr>
                      <w:t>place</w:t>
                    </w:r>
                    <w:r>
                      <w:rPr>
                        <w:spacing w:val="-2"/>
                        <w:sz w:val="20"/>
                      </w:rPr>
                      <w:t> </w:t>
                    </w:r>
                    <w:r>
                      <w:rPr>
                        <w:sz w:val="20"/>
                      </w:rPr>
                      <w:t>for</w:t>
                      <w:tab/>
                      <w:tab/>
                      <w:t>with</w:t>
                    </w:r>
                    <w:r>
                      <w:rPr>
                        <w:spacing w:val="-1"/>
                        <w:sz w:val="20"/>
                      </w:rPr>
                      <w:t> </w:t>
                    </w:r>
                    <w:r>
                      <w:rPr>
                        <w:sz w:val="20"/>
                      </w:rPr>
                      <w:t>government</w:t>
                    </w:r>
                  </w:p>
                  <w:p>
                    <w:pPr>
                      <w:tabs>
                        <w:tab w:pos="2524" w:val="left" w:leader="none"/>
                        <w:tab w:pos="4486" w:val="left" w:leader="none"/>
                      </w:tabs>
                      <w:spacing w:line="243" w:lineRule="exact" w:before="0"/>
                      <w:ind w:left="424" w:right="0" w:firstLine="0"/>
                      <w:jc w:val="left"/>
                      <w:rPr>
                        <w:sz w:val="20"/>
                      </w:rPr>
                    </w:pPr>
                    <w:r>
                      <w:rPr>
                        <w:sz w:val="20"/>
                      </w:rPr>
                      <w:t>obligations.</w:t>
                      <w:tab/>
                      <w:t>registration</w:t>
                    </w:r>
                    <w:r>
                      <w:rPr>
                        <w:spacing w:val="-3"/>
                        <w:sz w:val="20"/>
                      </w:rPr>
                      <w:t> </w:t>
                    </w:r>
                    <w:r>
                      <w:rPr>
                        <w:sz w:val="20"/>
                      </w:rPr>
                      <w:t>and</w:t>
                      <w:tab/>
                      <w:t>representatives.</w:t>
                    </w:r>
                    <w:r>
                      <w:rPr>
                        <w:spacing w:val="-3"/>
                        <w:sz w:val="20"/>
                      </w:rPr>
                      <w:t> </w:t>
                    </w:r>
                    <w:r>
                      <w:rPr>
                        <w:sz w:val="20"/>
                      </w:rPr>
                      <w:t>Audits</w:t>
                    </w:r>
                  </w:p>
                  <w:p>
                    <w:pPr>
                      <w:tabs>
                        <w:tab w:pos="4589" w:val="left" w:leader="none"/>
                      </w:tabs>
                      <w:spacing w:line="239" w:lineRule="exact" w:before="0"/>
                      <w:ind w:left="2208" w:right="0" w:firstLine="0"/>
                      <w:jc w:val="left"/>
                      <w:rPr>
                        <w:sz w:val="20"/>
                      </w:rPr>
                    </w:pPr>
                    <w:r>
                      <w:rPr>
                        <w:sz w:val="20"/>
                      </w:rPr>
                      <w:t>amendment</w:t>
                    </w:r>
                    <w:r>
                      <w:rPr>
                        <w:spacing w:val="-3"/>
                        <w:sz w:val="20"/>
                      </w:rPr>
                      <w:t> </w:t>
                    </w:r>
                    <w:r>
                      <w:rPr>
                        <w:sz w:val="20"/>
                      </w:rPr>
                      <w:t>of</w:t>
                    </w:r>
                    <w:r>
                      <w:rPr>
                        <w:spacing w:val="-4"/>
                        <w:sz w:val="20"/>
                      </w:rPr>
                      <w:t> </w:t>
                    </w:r>
                    <w:r>
                      <w:rPr>
                        <w:sz w:val="20"/>
                      </w:rPr>
                      <w:t>register.</w:t>
                      <w:tab/>
                      <w:t>conducted</w:t>
                    </w:r>
                    <w:r>
                      <w:rPr>
                        <w:spacing w:val="-1"/>
                        <w:sz w:val="20"/>
                      </w:rPr>
                      <w:t> </w:t>
                    </w:r>
                    <w:r>
                      <w:rPr>
                        <w:sz w:val="20"/>
                      </w:rPr>
                      <w:t>regularly.</w:t>
                    </w:r>
                  </w:p>
                </w:txbxContent>
              </v:textbox>
              <w10:wrap type="none"/>
            </v:shape>
            <v:shape style="position:absolute;left:7215;top:3758;width:2051;height:1664" type="#_x0000_t202" filled="false" stroked="false">
              <v:textbox inset="0,0,0,0">
                <w:txbxContent>
                  <w:p>
                    <w:pPr>
                      <w:spacing w:line="203" w:lineRule="exact" w:before="0"/>
                      <w:ind w:left="0" w:right="0" w:firstLine="0"/>
                      <w:jc w:val="left"/>
                      <w:rPr>
                        <w:sz w:val="20"/>
                      </w:rPr>
                    </w:pPr>
                    <w:r>
                      <w:rPr>
                        <w:sz w:val="20"/>
                      </w:rPr>
                      <w:t>Regulate lobbyist activity</w:t>
                    </w:r>
                  </w:p>
                  <w:p>
                    <w:pPr>
                      <w:spacing w:line="243" w:lineRule="exact" w:before="0"/>
                      <w:ind w:left="254" w:right="0" w:firstLine="0"/>
                      <w:jc w:val="left"/>
                      <w:rPr>
                        <w:sz w:val="20"/>
                      </w:rPr>
                    </w:pPr>
                    <w:r>
                      <w:rPr>
                        <w:sz w:val="20"/>
                      </w:rPr>
                      <w:t>by maintaining</w:t>
                    </w:r>
                    <w:r>
                      <w:rPr>
                        <w:spacing w:val="-6"/>
                        <w:sz w:val="20"/>
                      </w:rPr>
                      <w:t> </w:t>
                    </w:r>
                    <w:r>
                      <w:rPr>
                        <w:sz w:val="20"/>
                      </w:rPr>
                      <w:t>the</w:t>
                    </w:r>
                  </w:p>
                  <w:p>
                    <w:pPr>
                      <w:spacing w:before="0"/>
                      <w:ind w:left="4" w:right="21" w:firstLine="0"/>
                      <w:jc w:val="center"/>
                      <w:rPr>
                        <w:sz w:val="20"/>
                      </w:rPr>
                    </w:pPr>
                    <w:r>
                      <w:rPr>
                        <w:sz w:val="20"/>
                      </w:rPr>
                      <w:t>register and</w:t>
                    </w:r>
                    <w:r>
                      <w:rPr>
                        <w:spacing w:val="-18"/>
                        <w:sz w:val="20"/>
                      </w:rPr>
                      <w:t> </w:t>
                    </w:r>
                    <w:r>
                      <w:rPr>
                        <w:sz w:val="20"/>
                      </w:rPr>
                      <w:t>encouraging ongoing</w:t>
                    </w:r>
                    <w:r>
                      <w:rPr>
                        <w:spacing w:val="-2"/>
                        <w:sz w:val="20"/>
                      </w:rPr>
                      <w:t> </w:t>
                    </w:r>
                    <w:r>
                      <w:rPr>
                        <w:sz w:val="20"/>
                      </w:rPr>
                      <w:t>disclosure.</w:t>
                    </w:r>
                  </w:p>
                  <w:p>
                    <w:pPr>
                      <w:spacing w:before="1"/>
                      <w:ind w:left="4" w:right="19" w:firstLine="0"/>
                      <w:jc w:val="center"/>
                      <w:rPr>
                        <w:sz w:val="20"/>
                      </w:rPr>
                    </w:pPr>
                    <w:r>
                      <w:rPr>
                        <w:sz w:val="20"/>
                      </w:rPr>
                      <w:t>Provide advice about lobbying when</w:t>
                    </w:r>
                  </w:p>
                  <w:p>
                    <w:pPr>
                      <w:spacing w:line="239" w:lineRule="exact" w:before="0"/>
                      <w:ind w:left="4" w:right="18" w:firstLine="0"/>
                      <w:jc w:val="center"/>
                      <w:rPr>
                        <w:sz w:val="20"/>
                      </w:rPr>
                    </w:pPr>
                    <w:r>
                      <w:rPr>
                        <w:sz w:val="20"/>
                      </w:rPr>
                      <w:t>requested.</w:t>
                    </w:r>
                  </w:p>
                </w:txbxContent>
              </v:textbox>
              <w10:wrap type="none"/>
            </v:shape>
            <v:shape style="position:absolute;left:6212;top:4781;width:798;height:444" type="#_x0000_t202" filled="false" stroked="false">
              <v:textbox inset="0,0,0,0">
                <w:txbxContent>
                  <w:p>
                    <w:pPr>
                      <w:spacing w:line="203" w:lineRule="exact" w:before="0"/>
                      <w:ind w:left="0" w:right="0" w:firstLine="0"/>
                      <w:jc w:val="left"/>
                      <w:rPr>
                        <w:b/>
                        <w:sz w:val="20"/>
                      </w:rPr>
                    </w:pPr>
                    <w:r>
                      <w:rPr>
                        <w:b/>
                        <w:color w:val="FF6621"/>
                        <w:sz w:val="20"/>
                      </w:rPr>
                      <w:t>Lobbyists</w:t>
                    </w:r>
                  </w:p>
                  <w:p>
                    <w:pPr>
                      <w:spacing w:line="240" w:lineRule="exact" w:before="0"/>
                      <w:ind w:left="28" w:right="0" w:firstLine="0"/>
                      <w:jc w:val="left"/>
                      <w:rPr>
                        <w:b/>
                        <w:sz w:val="20"/>
                      </w:rPr>
                    </w:pPr>
                    <w:r>
                      <w:rPr>
                        <w:b/>
                        <w:color w:val="FF6621"/>
                        <w:sz w:val="20"/>
                      </w:rPr>
                      <w:t>Function</w:t>
                    </w:r>
                  </w:p>
                </w:txbxContent>
              </v:textbox>
              <w10:wrap type="none"/>
            </v:shape>
            <w10:wrap type="none"/>
          </v:group>
        </w:pict>
      </w:r>
      <w:r>
        <w:rPr/>
        <w:pict>
          <v:group style="position:absolute;margin-left:303.350006pt;margin-top:291.820007pt;width:503.4pt;height:100.8pt;mso-position-horizontal-relative:page;mso-position-vertical-relative:page;z-index:1768" coordorigin="6067,5836" coordsize="10068,2016">
            <v:rect style="position:absolute;left:6067;top:5836;width:10068;height:2016" filled="true" fillcolor="#ccecf9" stroked="false">
              <v:fill opacity="49087f" type="solid"/>
            </v:rect>
            <v:shape style="position:absolute;left:6184;top:5988;width:847;height:836" type="#_x0000_t75" stroked="false">
              <v:imagedata r:id="rId28" o:title=""/>
            </v:shape>
            <v:shape style="position:absolute;left:14008;top:6154;width:2042;height:1419" type="#_x0000_t202" filled="false" stroked="false">
              <v:textbox inset="0,0,0,0">
                <w:txbxContent>
                  <w:p>
                    <w:pPr>
                      <w:spacing w:line="203" w:lineRule="exact" w:before="0"/>
                      <w:ind w:left="33" w:right="0" w:firstLine="0"/>
                      <w:jc w:val="left"/>
                      <w:rPr>
                        <w:sz w:val="20"/>
                      </w:rPr>
                    </w:pPr>
                    <w:r>
                      <w:rPr>
                        <w:sz w:val="20"/>
                      </w:rPr>
                      <w:t>Designated persons and</w:t>
                    </w:r>
                  </w:p>
                  <w:p>
                    <w:pPr>
                      <w:spacing w:before="0"/>
                      <w:ind w:left="62" w:right="83" w:firstLine="9"/>
                      <w:jc w:val="both"/>
                      <w:rPr>
                        <w:sz w:val="20"/>
                      </w:rPr>
                    </w:pPr>
                    <w:r>
                      <w:rPr>
                        <w:sz w:val="20"/>
                      </w:rPr>
                      <w:t>the public are aware of issues relating to</w:t>
                    </w:r>
                    <w:r>
                      <w:rPr>
                        <w:spacing w:val="-10"/>
                        <w:sz w:val="20"/>
                      </w:rPr>
                      <w:t> </w:t>
                    </w:r>
                    <w:r>
                      <w:rPr>
                        <w:sz w:val="20"/>
                      </w:rPr>
                      <w:t>ethics and integrity and</w:t>
                    </w:r>
                    <w:r>
                      <w:rPr>
                        <w:spacing w:val="-1"/>
                        <w:sz w:val="20"/>
                      </w:rPr>
                      <w:t> </w:t>
                    </w:r>
                    <w:r>
                      <w:rPr>
                        <w:sz w:val="20"/>
                      </w:rPr>
                      <w:t>the</w:t>
                    </w:r>
                  </w:p>
                  <w:p>
                    <w:pPr>
                      <w:spacing w:before="0"/>
                      <w:ind w:left="247" w:right="0" w:hanging="248"/>
                      <w:jc w:val="left"/>
                      <w:rPr>
                        <w:sz w:val="20"/>
                      </w:rPr>
                    </w:pPr>
                    <w:r>
                      <w:rPr>
                        <w:sz w:val="20"/>
                      </w:rPr>
                      <w:t>Integrity Commissioner’s role and</w:t>
                    </w:r>
                    <w:r>
                      <w:rPr>
                        <w:spacing w:val="-5"/>
                        <w:sz w:val="20"/>
                      </w:rPr>
                      <w:t> </w:t>
                    </w:r>
                    <w:r>
                      <w:rPr>
                        <w:sz w:val="20"/>
                      </w:rPr>
                      <w:t>functions.</w:t>
                    </w:r>
                  </w:p>
                </w:txbxContent>
              </v:textbox>
              <w10:wrap type="none"/>
            </v:shape>
            <v:shape style="position:absolute;left:11715;top:6032;width:2114;height:1664" type="#_x0000_t202" filled="false" stroked="false">
              <v:textbox inset="0,0,0,0">
                <w:txbxContent>
                  <w:p>
                    <w:pPr>
                      <w:spacing w:line="203" w:lineRule="exact" w:before="0"/>
                      <w:ind w:left="72" w:right="0" w:firstLine="0"/>
                      <w:jc w:val="left"/>
                      <w:rPr>
                        <w:sz w:val="20"/>
                      </w:rPr>
                    </w:pPr>
                    <w:r>
                      <w:rPr>
                        <w:sz w:val="20"/>
                      </w:rPr>
                      <w:t>Implement processes to</w:t>
                    </w:r>
                  </w:p>
                  <w:p>
                    <w:pPr>
                      <w:spacing w:before="0"/>
                      <w:ind w:left="0" w:right="18" w:firstLine="1"/>
                      <w:jc w:val="center"/>
                      <w:rPr>
                        <w:sz w:val="20"/>
                      </w:rPr>
                    </w:pPr>
                    <w:r>
                      <w:rPr>
                        <w:sz w:val="20"/>
                      </w:rPr>
                      <w:t>incorporate integrity and ethics training to raise public awareness.</w:t>
                    </w:r>
                    <w:r>
                      <w:rPr>
                        <w:spacing w:val="-13"/>
                        <w:sz w:val="20"/>
                      </w:rPr>
                      <w:t> </w:t>
                    </w:r>
                    <w:r>
                      <w:rPr>
                        <w:sz w:val="20"/>
                      </w:rPr>
                      <w:t>Update website and</w:t>
                    </w:r>
                    <w:r>
                      <w:rPr>
                        <w:spacing w:val="-3"/>
                        <w:sz w:val="20"/>
                      </w:rPr>
                      <w:t> </w:t>
                    </w:r>
                    <w:r>
                      <w:rPr>
                        <w:sz w:val="20"/>
                      </w:rPr>
                      <w:t>conduct</w:t>
                    </w:r>
                  </w:p>
                  <w:p>
                    <w:pPr>
                      <w:spacing w:before="1"/>
                      <w:ind w:left="17" w:right="33" w:firstLine="0"/>
                      <w:jc w:val="center"/>
                      <w:rPr>
                        <w:sz w:val="20"/>
                      </w:rPr>
                    </w:pPr>
                    <w:r>
                      <w:rPr>
                        <w:sz w:val="20"/>
                      </w:rPr>
                      <w:t>stakeholder engagement plan.</w:t>
                    </w:r>
                  </w:p>
                </w:txbxContent>
              </v:textbox>
              <w10:wrap type="none"/>
            </v:shape>
            <v:shape style="position:absolute;left:6161;top:6032;width:5423;height:1664" type="#_x0000_t202" filled="false" stroked="false">
              <v:textbox inset="0,0,0,0">
                <w:txbxContent>
                  <w:p>
                    <w:pPr>
                      <w:tabs>
                        <w:tab w:pos="3345" w:val="left" w:leader="none"/>
                      </w:tabs>
                      <w:spacing w:line="203" w:lineRule="exact" w:before="0"/>
                      <w:ind w:left="1274" w:right="0" w:firstLine="0"/>
                      <w:jc w:val="left"/>
                      <w:rPr>
                        <w:sz w:val="20"/>
                      </w:rPr>
                    </w:pPr>
                    <w:r>
                      <w:rPr>
                        <w:sz w:val="20"/>
                      </w:rPr>
                      <w:t>Educate</w:t>
                    </w:r>
                    <w:r>
                      <w:rPr>
                        <w:spacing w:val="-3"/>
                        <w:sz w:val="20"/>
                      </w:rPr>
                      <w:t> </w:t>
                    </w:r>
                    <w:r>
                      <w:rPr>
                        <w:sz w:val="20"/>
                      </w:rPr>
                      <w:t>designated</w:t>
                      <w:tab/>
                      <w:t>Lack of awareness</w:t>
                    </w:r>
                    <w:r>
                      <w:rPr>
                        <w:spacing w:val="-8"/>
                        <w:sz w:val="20"/>
                      </w:rPr>
                      <w:t> </w:t>
                    </w:r>
                    <w:r>
                      <w:rPr>
                        <w:sz w:val="20"/>
                      </w:rPr>
                      <w:t>about</w:t>
                    </w:r>
                  </w:p>
                  <w:p>
                    <w:pPr>
                      <w:tabs>
                        <w:tab w:pos="3540" w:val="left" w:leader="none"/>
                      </w:tabs>
                      <w:spacing w:line="243" w:lineRule="exact" w:before="0"/>
                      <w:ind w:left="1416" w:right="0" w:firstLine="0"/>
                      <w:jc w:val="left"/>
                      <w:rPr>
                        <w:sz w:val="20"/>
                      </w:rPr>
                    </w:pPr>
                    <w:r>
                      <w:rPr>
                        <w:sz w:val="20"/>
                      </w:rPr>
                      <w:t>persons</w:t>
                    </w:r>
                    <w:r>
                      <w:rPr>
                        <w:spacing w:val="-4"/>
                        <w:sz w:val="20"/>
                      </w:rPr>
                      <w:t> </w:t>
                    </w:r>
                    <w:r>
                      <w:rPr>
                        <w:sz w:val="20"/>
                      </w:rPr>
                      <w:t>and</w:t>
                    </w:r>
                    <w:r>
                      <w:rPr>
                        <w:spacing w:val="-1"/>
                        <w:sz w:val="20"/>
                      </w:rPr>
                      <w:t> </w:t>
                    </w:r>
                    <w:r>
                      <w:rPr>
                        <w:sz w:val="20"/>
                      </w:rPr>
                      <w:t>the</w:t>
                      <w:tab/>
                      <w:t>ethics and</w:t>
                    </w:r>
                    <w:r>
                      <w:rPr>
                        <w:spacing w:val="-3"/>
                        <w:sz w:val="20"/>
                      </w:rPr>
                      <w:t> </w:t>
                    </w:r>
                    <w:r>
                      <w:rPr>
                        <w:sz w:val="20"/>
                      </w:rPr>
                      <w:t>integrity,</w:t>
                    </w:r>
                  </w:p>
                  <w:p>
                    <w:pPr>
                      <w:tabs>
                        <w:tab w:pos="3353" w:val="left" w:leader="none"/>
                        <w:tab w:pos="3480" w:val="left" w:leader="none"/>
                      </w:tabs>
                      <w:spacing w:before="0"/>
                      <w:ind w:left="1060" w:right="84" w:firstLine="127"/>
                      <w:jc w:val="left"/>
                      <w:rPr>
                        <w:sz w:val="20"/>
                      </w:rPr>
                    </w:pPr>
                    <w:r>
                      <w:rPr>
                        <w:sz w:val="20"/>
                      </w:rPr>
                      <w:t>community</w:t>
                    </w:r>
                    <w:r>
                      <w:rPr>
                        <w:spacing w:val="-2"/>
                        <w:sz w:val="20"/>
                      </w:rPr>
                      <w:t> </w:t>
                    </w:r>
                    <w:r>
                      <w:rPr>
                        <w:sz w:val="20"/>
                      </w:rPr>
                      <w:t>about</w:t>
                    </w:r>
                    <w:r>
                      <w:rPr>
                        <w:spacing w:val="-1"/>
                        <w:sz w:val="20"/>
                      </w:rPr>
                      <w:t> </w:t>
                    </w:r>
                    <w:r>
                      <w:rPr>
                        <w:sz w:val="20"/>
                      </w:rPr>
                      <w:t>the</w:t>
                      <w:tab/>
                      <w:t>thereby not fulfilling</w:t>
                    </w:r>
                    <w:r>
                      <w:rPr>
                        <w:spacing w:val="-11"/>
                        <w:sz w:val="20"/>
                      </w:rPr>
                      <w:t> </w:t>
                    </w:r>
                    <w:r>
                      <w:rPr>
                        <w:sz w:val="20"/>
                      </w:rPr>
                      <w:t>our Integrity</w:t>
                    </w:r>
                    <w:r>
                      <w:rPr>
                        <w:spacing w:val="-1"/>
                        <w:sz w:val="20"/>
                      </w:rPr>
                      <w:t> </w:t>
                    </w:r>
                    <w:r>
                      <w:rPr>
                        <w:sz w:val="20"/>
                      </w:rPr>
                      <w:t>Commissioner’s</w:t>
                      <w:tab/>
                      <w:tab/>
                      <w:t>statutory</w:t>
                    </w:r>
                    <w:r>
                      <w:rPr>
                        <w:spacing w:val="-3"/>
                        <w:sz w:val="20"/>
                      </w:rPr>
                      <w:t> </w:t>
                    </w:r>
                    <w:r>
                      <w:rPr>
                        <w:sz w:val="20"/>
                      </w:rPr>
                      <w:t>obligations.</w:t>
                    </w:r>
                  </w:p>
                  <w:p>
                    <w:pPr>
                      <w:tabs>
                        <w:tab w:pos="1175" w:val="left" w:leader="none"/>
                        <w:tab w:pos="3288" w:val="left" w:leader="none"/>
                      </w:tabs>
                      <w:spacing w:line="206" w:lineRule="exact" w:before="0"/>
                      <w:ind w:left="201" w:right="0" w:firstLine="0"/>
                      <w:jc w:val="left"/>
                      <w:rPr>
                        <w:sz w:val="20"/>
                      </w:rPr>
                    </w:pPr>
                    <w:r>
                      <w:rPr>
                        <w:b/>
                        <w:color w:val="FF6621"/>
                        <w:position w:val="8"/>
                        <w:sz w:val="20"/>
                      </w:rPr>
                      <w:t>Public</w:t>
                      <w:tab/>
                    </w:r>
                    <w:r>
                      <w:rPr>
                        <w:sz w:val="20"/>
                      </w:rPr>
                      <w:t>role and</w:t>
                    </w:r>
                    <w:r>
                      <w:rPr>
                        <w:spacing w:val="-4"/>
                        <w:sz w:val="20"/>
                      </w:rPr>
                      <w:t> </w:t>
                    </w:r>
                    <w:r>
                      <w:rPr>
                        <w:sz w:val="20"/>
                      </w:rPr>
                      <w:t>raising</w:t>
                    </w:r>
                    <w:r>
                      <w:rPr>
                        <w:spacing w:val="-2"/>
                        <w:sz w:val="20"/>
                      </w:rPr>
                      <w:t> </w:t>
                    </w:r>
                    <w:r>
                      <w:rPr>
                        <w:sz w:val="20"/>
                      </w:rPr>
                      <w:t>public</w:t>
                      <w:tab/>
                      <w:t>Potential for loss of</w:t>
                    </w:r>
                    <w:r>
                      <w:rPr>
                        <w:spacing w:val="-15"/>
                        <w:sz w:val="20"/>
                      </w:rPr>
                      <w:t> </w:t>
                    </w:r>
                    <w:r>
                      <w:rPr>
                        <w:sz w:val="20"/>
                      </w:rPr>
                      <w:t>public</w:t>
                    </w:r>
                  </w:p>
                  <w:p>
                    <w:pPr>
                      <w:tabs>
                        <w:tab w:pos="3801" w:val="left" w:leader="none"/>
                      </w:tabs>
                      <w:spacing w:line="249" w:lineRule="exact" w:before="0"/>
                      <w:ind w:left="0" w:right="0" w:firstLine="0"/>
                      <w:jc w:val="left"/>
                      <w:rPr>
                        <w:sz w:val="20"/>
                      </w:rPr>
                    </w:pPr>
                    <w:r>
                      <w:rPr>
                        <w:b/>
                        <w:color w:val="FF6621"/>
                        <w:position w:val="8"/>
                        <w:sz w:val="20"/>
                      </w:rPr>
                      <w:t>Awareness    </w:t>
                    </w:r>
                    <w:r>
                      <w:rPr>
                        <w:sz w:val="20"/>
                      </w:rPr>
                      <w:t>awareness of</w:t>
                    </w:r>
                    <w:r>
                      <w:rPr>
                        <w:spacing w:val="-3"/>
                        <w:sz w:val="20"/>
                      </w:rPr>
                      <w:t> </w:t>
                    </w:r>
                    <w:r>
                      <w:rPr>
                        <w:sz w:val="20"/>
                      </w:rPr>
                      <w:t>ethics</w:t>
                    </w:r>
                    <w:r>
                      <w:rPr>
                        <w:spacing w:val="-3"/>
                        <w:sz w:val="20"/>
                      </w:rPr>
                      <w:t> </w:t>
                    </w:r>
                    <w:r>
                      <w:rPr>
                        <w:sz w:val="20"/>
                      </w:rPr>
                      <w:t>and</w:t>
                      <w:tab/>
                      <w:t>confidence</w:t>
                    </w:r>
                    <w:r>
                      <w:rPr>
                        <w:spacing w:val="-9"/>
                        <w:sz w:val="20"/>
                      </w:rPr>
                      <w:t> </w:t>
                    </w:r>
                    <w:r>
                      <w:rPr>
                        <w:sz w:val="20"/>
                      </w:rPr>
                      <w:t>in</w:t>
                    </w:r>
                  </w:p>
                  <w:p>
                    <w:pPr>
                      <w:tabs>
                        <w:tab w:pos="1679" w:val="left" w:leader="none"/>
                        <w:tab w:pos="3823" w:val="left" w:leader="none"/>
                      </w:tabs>
                      <w:spacing w:line="274" w:lineRule="exact" w:before="0"/>
                      <w:ind w:left="52" w:right="0" w:firstLine="0"/>
                      <w:jc w:val="left"/>
                      <w:rPr>
                        <w:sz w:val="20"/>
                      </w:rPr>
                    </w:pPr>
                    <w:r>
                      <w:rPr>
                        <w:b/>
                        <w:color w:val="FF6621"/>
                        <w:position w:val="7"/>
                        <w:sz w:val="20"/>
                      </w:rPr>
                      <w:t>Functions</w:t>
                      <w:tab/>
                    </w:r>
                    <w:r>
                      <w:rPr>
                        <w:sz w:val="20"/>
                      </w:rPr>
                      <w:t>integrity.</w:t>
                      <w:tab/>
                      <w:t>government.</w:t>
                    </w:r>
                  </w:p>
                </w:txbxContent>
              </v:textbox>
              <w10:wrap type="none"/>
            </v:shape>
            <w10:wrap type="none"/>
          </v:group>
        </w:pict>
      </w:r>
      <w:r>
        <w:rPr/>
        <w:pict>
          <v:shape style="position:absolute;margin-left:35.955002pt;margin-top:31.227179pt;width:254.25pt;height:328.1pt;mso-position-horizontal-relative:page;mso-position-vertical-relative:paragraph;z-index:1792" type="#_x0000_t202" filled="true" fillcolor="#d9d9d9" stroked="false">
            <v:textbox inset="0,0,0,0">
              <w:txbxContent>
                <w:p>
                  <w:pPr>
                    <w:spacing w:before="156"/>
                    <w:ind w:left="142" w:right="0" w:firstLine="0"/>
                    <w:jc w:val="left"/>
                    <w:rPr>
                      <w:rFonts w:ascii="Gill Sans MT"/>
                      <w:sz w:val="17"/>
                    </w:rPr>
                  </w:pPr>
                  <w:r>
                    <w:rPr>
                      <w:rFonts w:ascii="Gill Sans MT"/>
                      <w:color w:val="FF6621"/>
                      <w:w w:val="105"/>
                      <w:sz w:val="22"/>
                    </w:rPr>
                    <w:t>T</w:t>
                  </w:r>
                  <w:r>
                    <w:rPr>
                      <w:rFonts w:ascii="Gill Sans MT"/>
                      <w:color w:val="FF6621"/>
                      <w:w w:val="105"/>
                      <w:sz w:val="17"/>
                    </w:rPr>
                    <w:t>HE </w:t>
                  </w:r>
                  <w:r>
                    <w:rPr>
                      <w:rFonts w:ascii="Gill Sans MT"/>
                      <w:color w:val="FF6621"/>
                      <w:w w:val="105"/>
                      <w:sz w:val="22"/>
                    </w:rPr>
                    <w:t>R</w:t>
                  </w:r>
                  <w:r>
                    <w:rPr>
                      <w:rFonts w:ascii="Gill Sans MT"/>
                      <w:color w:val="FF6621"/>
                      <w:w w:val="105"/>
                      <w:sz w:val="17"/>
                    </w:rPr>
                    <w:t>OLE OF </w:t>
                  </w:r>
                  <w:r>
                    <w:rPr>
                      <w:rFonts w:ascii="Gill Sans MT"/>
                      <w:color w:val="FF6621"/>
                      <w:w w:val="105"/>
                      <w:sz w:val="22"/>
                    </w:rPr>
                    <w:t>I</w:t>
                  </w:r>
                  <w:r>
                    <w:rPr>
                      <w:rFonts w:ascii="Gill Sans MT"/>
                      <w:color w:val="FF6621"/>
                      <w:w w:val="105"/>
                      <w:sz w:val="17"/>
                    </w:rPr>
                    <w:t>NTEGRITY </w:t>
                  </w:r>
                  <w:r>
                    <w:rPr>
                      <w:rFonts w:ascii="Gill Sans MT"/>
                      <w:color w:val="FF6621"/>
                      <w:w w:val="105"/>
                      <w:sz w:val="22"/>
                    </w:rPr>
                    <w:t>C</w:t>
                  </w:r>
                  <w:r>
                    <w:rPr>
                      <w:rFonts w:ascii="Gill Sans MT"/>
                      <w:color w:val="FF6621"/>
                      <w:w w:val="105"/>
                      <w:sz w:val="17"/>
                    </w:rPr>
                    <w:t>OMMISSIONER</w:t>
                  </w:r>
                </w:p>
                <w:p>
                  <w:pPr>
                    <w:pStyle w:val="BodyText"/>
                    <w:spacing w:before="133"/>
                    <w:ind w:left="142"/>
                  </w:pPr>
                  <w:r>
                    <w:rPr/>
                    <w:t>The Queensland Integrity Commissioner is an independent officer of the Queensland Parliament reporting through</w:t>
                  </w:r>
                </w:p>
                <w:p>
                  <w:pPr>
                    <w:pStyle w:val="BodyText"/>
                    <w:spacing w:before="2"/>
                    <w:ind w:left="142"/>
                  </w:pPr>
                  <w:r>
                    <w:rPr/>
                    <w:t>the Economics and Governance Committee.</w:t>
                  </w:r>
                </w:p>
                <w:p>
                  <w:pPr>
                    <w:spacing w:before="142"/>
                    <w:ind w:left="142" w:right="0" w:firstLine="0"/>
                    <w:jc w:val="left"/>
                    <w:rPr>
                      <w:rFonts w:ascii="Gill Sans MT"/>
                      <w:sz w:val="17"/>
                    </w:rPr>
                  </w:pPr>
                  <w:r>
                    <w:rPr>
                      <w:rFonts w:ascii="Gill Sans MT"/>
                      <w:color w:val="FF6621"/>
                      <w:sz w:val="22"/>
                    </w:rPr>
                    <w:t>O</w:t>
                  </w:r>
                  <w:r>
                    <w:rPr>
                      <w:rFonts w:ascii="Gill Sans MT"/>
                      <w:color w:val="FF6621"/>
                      <w:sz w:val="17"/>
                    </w:rPr>
                    <w:t>UR </w:t>
                  </w:r>
                  <w:r>
                    <w:rPr>
                      <w:rFonts w:ascii="Gill Sans MT"/>
                      <w:color w:val="FF6621"/>
                      <w:sz w:val="22"/>
                    </w:rPr>
                    <w:t>V</w:t>
                  </w:r>
                  <w:r>
                    <w:rPr>
                      <w:rFonts w:ascii="Gill Sans MT"/>
                      <w:color w:val="FF6621"/>
                      <w:sz w:val="17"/>
                    </w:rPr>
                    <w:t>ISION</w:t>
                  </w:r>
                </w:p>
                <w:p>
                  <w:pPr>
                    <w:pStyle w:val="BodyText"/>
                    <w:spacing w:line="244" w:lineRule="exact" w:before="136"/>
                    <w:ind w:left="142"/>
                  </w:pPr>
                  <w:r>
                    <w:rPr/>
                    <w:t>Encouraging confidence in public institutions and public</w:t>
                  </w:r>
                </w:p>
                <w:p>
                  <w:pPr>
                    <w:pStyle w:val="BodyText"/>
                    <w:spacing w:line="244" w:lineRule="exact"/>
                    <w:ind w:left="142"/>
                  </w:pPr>
                  <w:r>
                    <w:rPr/>
                    <w:t>office.</w:t>
                  </w:r>
                </w:p>
                <w:p>
                  <w:pPr>
                    <w:spacing w:before="145"/>
                    <w:ind w:left="142" w:right="0" w:firstLine="0"/>
                    <w:jc w:val="left"/>
                    <w:rPr>
                      <w:rFonts w:ascii="Gill Sans MT"/>
                      <w:sz w:val="17"/>
                    </w:rPr>
                  </w:pPr>
                  <w:r>
                    <w:rPr>
                      <w:rFonts w:ascii="Gill Sans MT"/>
                      <w:color w:val="FF6621"/>
                      <w:sz w:val="22"/>
                    </w:rPr>
                    <w:t>O</w:t>
                  </w:r>
                  <w:r>
                    <w:rPr>
                      <w:rFonts w:ascii="Gill Sans MT"/>
                      <w:color w:val="FF6621"/>
                      <w:sz w:val="17"/>
                    </w:rPr>
                    <w:t>UR </w:t>
                  </w:r>
                  <w:r>
                    <w:rPr>
                      <w:rFonts w:ascii="Gill Sans MT"/>
                      <w:color w:val="FF6621"/>
                      <w:sz w:val="22"/>
                    </w:rPr>
                    <w:t>P</w:t>
                  </w:r>
                  <w:r>
                    <w:rPr>
                      <w:rFonts w:ascii="Gill Sans MT"/>
                      <w:color w:val="FF6621"/>
                      <w:sz w:val="17"/>
                    </w:rPr>
                    <w:t>URPOSE</w:t>
                  </w:r>
                </w:p>
                <w:p>
                  <w:pPr>
                    <w:pStyle w:val="BodyText"/>
                    <w:spacing w:before="133"/>
                    <w:ind w:left="142"/>
                  </w:pPr>
                  <w:r>
                    <w:rPr/>
                    <w:t>The Integrity Commissioner has four functions under the</w:t>
                  </w:r>
                </w:p>
                <w:p>
                  <w:pPr>
                    <w:spacing w:before="1"/>
                    <w:ind w:left="142" w:right="0" w:firstLine="0"/>
                    <w:jc w:val="left"/>
                    <w:rPr>
                      <w:sz w:val="20"/>
                    </w:rPr>
                  </w:pPr>
                  <w:r>
                    <w:rPr>
                      <w:i/>
                      <w:sz w:val="20"/>
                    </w:rPr>
                    <w:t>Integrity Act 2009</w:t>
                  </w:r>
                  <w:r>
                    <w:rPr>
                      <w:sz w:val="20"/>
                    </w:rPr>
                    <w:t>:</w:t>
                  </w:r>
                </w:p>
                <w:p>
                  <w:pPr>
                    <w:pStyle w:val="BodyText"/>
                    <w:numPr>
                      <w:ilvl w:val="0"/>
                      <w:numId w:val="4"/>
                    </w:numPr>
                    <w:tabs>
                      <w:tab w:pos="495" w:val="left" w:leader="none"/>
                      <w:tab w:pos="496" w:val="left" w:leader="none"/>
                    </w:tabs>
                    <w:spacing w:line="240" w:lineRule="auto" w:before="121" w:after="0"/>
                    <w:ind w:left="495" w:right="0" w:hanging="353"/>
                    <w:jc w:val="left"/>
                  </w:pPr>
                  <w:r>
                    <w:rPr/>
                    <w:t>To give written advice to current and</w:t>
                  </w:r>
                  <w:r>
                    <w:rPr>
                      <w:spacing w:val="-9"/>
                    </w:rPr>
                    <w:t> </w:t>
                  </w:r>
                  <w:r>
                    <w:rPr/>
                    <w:t>former</w:t>
                  </w:r>
                </w:p>
                <w:p>
                  <w:pPr>
                    <w:pStyle w:val="BodyText"/>
                    <w:ind w:left="495"/>
                  </w:pPr>
                  <w:r>
                    <w:rPr/>
                    <w:t>designated persons about ethics and integrity</w:t>
                  </w:r>
                  <w:r>
                    <w:rPr>
                      <w:spacing w:val="-21"/>
                    </w:rPr>
                    <w:t> </w:t>
                  </w:r>
                  <w:r>
                    <w:rPr/>
                    <w:t>issues.</w:t>
                  </w:r>
                </w:p>
                <w:p>
                  <w:pPr>
                    <w:pStyle w:val="BodyText"/>
                    <w:numPr>
                      <w:ilvl w:val="0"/>
                      <w:numId w:val="4"/>
                    </w:numPr>
                    <w:tabs>
                      <w:tab w:pos="495" w:val="left" w:leader="none"/>
                      <w:tab w:pos="496" w:val="left" w:leader="none"/>
                    </w:tabs>
                    <w:spacing w:line="240" w:lineRule="auto" w:before="119" w:after="0"/>
                    <w:ind w:left="495" w:right="0" w:hanging="353"/>
                    <w:jc w:val="left"/>
                  </w:pPr>
                  <w:r>
                    <w:rPr/>
                    <w:t>To meet with and give written or oral advice</w:t>
                  </w:r>
                  <w:r>
                    <w:rPr>
                      <w:spacing w:val="-26"/>
                    </w:rPr>
                    <w:t> </w:t>
                  </w:r>
                  <w:r>
                    <w:rPr/>
                    <w:t>to</w:t>
                  </w:r>
                </w:p>
                <w:p>
                  <w:pPr>
                    <w:pStyle w:val="BodyText"/>
                    <w:spacing w:before="1"/>
                    <w:ind w:left="495"/>
                  </w:pPr>
                  <w:r>
                    <w:rPr/>
                    <w:t>Members of the Legislative Assembly about interests issues.</w:t>
                  </w:r>
                </w:p>
                <w:p>
                  <w:pPr>
                    <w:pStyle w:val="BodyText"/>
                    <w:numPr>
                      <w:ilvl w:val="0"/>
                      <w:numId w:val="4"/>
                    </w:numPr>
                    <w:tabs>
                      <w:tab w:pos="495" w:val="left" w:leader="none"/>
                      <w:tab w:pos="496" w:val="left" w:leader="none"/>
                    </w:tabs>
                    <w:spacing w:line="240" w:lineRule="auto" w:before="119" w:after="0"/>
                    <w:ind w:left="495" w:right="276" w:hanging="353"/>
                    <w:jc w:val="left"/>
                  </w:pPr>
                  <w:r>
                    <w:rPr/>
                    <w:t>To keep the lobbyists register and have</w:t>
                  </w:r>
                  <w:r>
                    <w:rPr>
                      <w:spacing w:val="-24"/>
                    </w:rPr>
                    <w:t> </w:t>
                  </w:r>
                  <w:r>
                    <w:rPr/>
                    <w:t>responsibility for the registration of</w:t>
                  </w:r>
                  <w:r>
                    <w:rPr>
                      <w:spacing w:val="-5"/>
                    </w:rPr>
                    <w:t> </w:t>
                  </w:r>
                  <w:r>
                    <w:rPr/>
                    <w:t>lobbyists.</w:t>
                  </w:r>
                </w:p>
                <w:p>
                  <w:pPr>
                    <w:pStyle w:val="BodyText"/>
                    <w:numPr>
                      <w:ilvl w:val="0"/>
                      <w:numId w:val="4"/>
                    </w:numPr>
                    <w:tabs>
                      <w:tab w:pos="495" w:val="left" w:leader="none"/>
                      <w:tab w:pos="496" w:val="left" w:leader="none"/>
                    </w:tabs>
                    <w:spacing w:line="240" w:lineRule="auto" w:before="121" w:after="0"/>
                    <w:ind w:left="495" w:right="159" w:hanging="353"/>
                    <w:jc w:val="left"/>
                  </w:pPr>
                  <w:r>
                    <w:rPr/>
                    <w:t>To raise public awareness of ethics and integrity</w:t>
                  </w:r>
                  <w:r>
                    <w:rPr>
                      <w:spacing w:val="-19"/>
                    </w:rPr>
                    <w:t> </w:t>
                  </w:r>
                  <w:r>
                    <w:rPr/>
                    <w:t>issues by contributing to public discussion of these</w:t>
                  </w:r>
                  <w:r>
                    <w:rPr>
                      <w:spacing w:val="-18"/>
                    </w:rPr>
                    <w:t> </w:t>
                  </w:r>
                  <w:r>
                    <w:rPr/>
                    <w:t>issues.</w:t>
                  </w:r>
                </w:p>
              </w:txbxContent>
            </v:textbox>
            <v:fill opacity="49087f" type="solid"/>
            <w10:wrap type="none"/>
          </v:shape>
        </w:pict>
      </w:r>
      <w:r>
        <w:rPr/>
        <w:pict>
          <v:shape style="position:absolute;margin-left:301.970001pt;margin-top:17.557178pt;width:503.4pt;height:114.5pt;mso-position-horizontal-relative:page;mso-position-vertical-relative:paragraph;z-index:181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04"/>
                    <w:gridCol w:w="2224"/>
                    <w:gridCol w:w="2196"/>
                    <w:gridCol w:w="2364"/>
                    <w:gridCol w:w="2179"/>
                  </w:tblGrid>
                  <w:tr>
                    <w:trPr>
                      <w:trHeight w:val="273" w:hRule="atLeast"/>
                    </w:trPr>
                    <w:tc>
                      <w:tcPr>
                        <w:tcW w:w="1104" w:type="dxa"/>
                        <w:vMerge w:val="restart"/>
                      </w:tcPr>
                      <w:p>
                        <w:pPr>
                          <w:pStyle w:val="TableParagraph"/>
                          <w:rPr>
                            <w:rFonts w:ascii="Times New Roman"/>
                            <w:sz w:val="18"/>
                          </w:rPr>
                        </w:pPr>
                      </w:p>
                    </w:tc>
                    <w:tc>
                      <w:tcPr>
                        <w:tcW w:w="2224" w:type="dxa"/>
                      </w:tcPr>
                      <w:p>
                        <w:pPr>
                          <w:pStyle w:val="TableParagraph"/>
                          <w:spacing w:line="203" w:lineRule="exact"/>
                          <w:ind w:left="131" w:right="179"/>
                          <w:jc w:val="center"/>
                          <w:rPr>
                            <w:b/>
                            <w:sz w:val="20"/>
                          </w:rPr>
                        </w:pPr>
                        <w:r>
                          <w:rPr>
                            <w:b/>
                            <w:color w:val="FF6621"/>
                            <w:sz w:val="20"/>
                          </w:rPr>
                          <w:t>Objectives</w:t>
                        </w:r>
                      </w:p>
                    </w:tc>
                    <w:tc>
                      <w:tcPr>
                        <w:tcW w:w="2196" w:type="dxa"/>
                      </w:tcPr>
                      <w:p>
                        <w:pPr>
                          <w:pStyle w:val="TableParagraph"/>
                          <w:spacing w:line="203" w:lineRule="exact"/>
                          <w:ind w:left="175" w:right="133"/>
                          <w:jc w:val="center"/>
                          <w:rPr>
                            <w:b/>
                            <w:sz w:val="20"/>
                          </w:rPr>
                        </w:pPr>
                        <w:r>
                          <w:rPr>
                            <w:b/>
                            <w:color w:val="FF6621"/>
                            <w:sz w:val="20"/>
                          </w:rPr>
                          <w:t>Strategic Risks</w:t>
                        </w:r>
                      </w:p>
                    </w:tc>
                    <w:tc>
                      <w:tcPr>
                        <w:tcW w:w="2364" w:type="dxa"/>
                      </w:tcPr>
                      <w:p>
                        <w:pPr>
                          <w:pStyle w:val="TableParagraph"/>
                          <w:spacing w:line="203" w:lineRule="exact"/>
                          <w:ind w:left="130" w:right="97"/>
                          <w:jc w:val="center"/>
                          <w:rPr>
                            <w:b/>
                            <w:sz w:val="20"/>
                          </w:rPr>
                        </w:pPr>
                        <w:r>
                          <w:rPr>
                            <w:b/>
                            <w:color w:val="FF6621"/>
                            <w:sz w:val="20"/>
                          </w:rPr>
                          <w:t>Strategies</w:t>
                        </w:r>
                      </w:p>
                    </w:tc>
                    <w:tc>
                      <w:tcPr>
                        <w:tcW w:w="2179" w:type="dxa"/>
                      </w:tcPr>
                      <w:p>
                        <w:pPr>
                          <w:pStyle w:val="TableParagraph"/>
                          <w:spacing w:line="203" w:lineRule="exact"/>
                          <w:ind w:left="99" w:right="98"/>
                          <w:jc w:val="center"/>
                          <w:rPr>
                            <w:b/>
                            <w:sz w:val="20"/>
                          </w:rPr>
                        </w:pPr>
                        <w:r>
                          <w:rPr>
                            <w:b/>
                            <w:color w:val="FF6621"/>
                            <w:sz w:val="20"/>
                          </w:rPr>
                          <w:t>Performance indicators</w:t>
                        </w:r>
                      </w:p>
                    </w:tc>
                  </w:tr>
                  <w:tr>
                    <w:trPr>
                      <w:trHeight w:val="416" w:hRule="atLeast"/>
                    </w:trPr>
                    <w:tc>
                      <w:tcPr>
                        <w:tcW w:w="1104" w:type="dxa"/>
                        <w:vMerge/>
                        <w:tcBorders>
                          <w:top w:val="nil"/>
                        </w:tcBorders>
                      </w:tcPr>
                      <w:p>
                        <w:pPr>
                          <w:rPr>
                            <w:sz w:val="2"/>
                            <w:szCs w:val="2"/>
                          </w:rPr>
                        </w:pPr>
                      </w:p>
                    </w:tc>
                    <w:tc>
                      <w:tcPr>
                        <w:tcW w:w="2224" w:type="dxa"/>
                        <w:shd w:val="clear" w:color="auto" w:fill="D4F1EB"/>
                      </w:tcPr>
                      <w:p>
                        <w:pPr>
                          <w:pStyle w:val="TableParagraph"/>
                          <w:rPr>
                            <w:rFonts w:ascii="Times New Roman"/>
                            <w:sz w:val="18"/>
                          </w:rPr>
                        </w:pPr>
                      </w:p>
                    </w:tc>
                    <w:tc>
                      <w:tcPr>
                        <w:tcW w:w="2196" w:type="dxa"/>
                        <w:shd w:val="clear" w:color="auto" w:fill="D4F1EB"/>
                      </w:tcPr>
                      <w:p>
                        <w:pPr>
                          <w:pStyle w:val="TableParagraph"/>
                          <w:rPr>
                            <w:rFonts w:ascii="Times New Roman"/>
                            <w:sz w:val="18"/>
                          </w:rPr>
                        </w:pPr>
                      </w:p>
                    </w:tc>
                    <w:tc>
                      <w:tcPr>
                        <w:tcW w:w="2364" w:type="dxa"/>
                        <w:shd w:val="clear" w:color="auto" w:fill="D4F1EB"/>
                      </w:tcPr>
                      <w:p>
                        <w:pPr>
                          <w:pStyle w:val="TableParagraph"/>
                          <w:spacing w:line="243" w:lineRule="exact" w:before="153"/>
                          <w:ind w:left="132" w:right="97"/>
                          <w:jc w:val="center"/>
                          <w:rPr>
                            <w:sz w:val="20"/>
                          </w:rPr>
                        </w:pPr>
                        <w:r>
                          <w:rPr>
                            <w:sz w:val="20"/>
                          </w:rPr>
                          <w:t>Supporting our workforce</w:t>
                        </w:r>
                      </w:p>
                    </w:tc>
                    <w:tc>
                      <w:tcPr>
                        <w:tcW w:w="2179" w:type="dxa"/>
                        <w:shd w:val="clear" w:color="auto" w:fill="D4F1EB"/>
                      </w:tcPr>
                      <w:p>
                        <w:pPr>
                          <w:pStyle w:val="TableParagraph"/>
                          <w:spacing w:line="243" w:lineRule="exact" w:before="153"/>
                          <w:ind w:left="98" w:right="98"/>
                          <w:jc w:val="center"/>
                          <w:rPr>
                            <w:sz w:val="20"/>
                          </w:rPr>
                        </w:pPr>
                        <w:r>
                          <w:rPr>
                            <w:sz w:val="20"/>
                          </w:rPr>
                          <w:t>Our people are capable</w:t>
                        </w:r>
                      </w:p>
                    </w:tc>
                  </w:tr>
                  <w:tr>
                    <w:trPr>
                      <w:trHeight w:val="243" w:hRule="atLeast"/>
                    </w:trPr>
                    <w:tc>
                      <w:tcPr>
                        <w:tcW w:w="1104" w:type="dxa"/>
                        <w:vMerge/>
                        <w:tcBorders>
                          <w:top w:val="nil"/>
                        </w:tcBorders>
                      </w:tcPr>
                      <w:p>
                        <w:pPr>
                          <w:rPr>
                            <w:sz w:val="2"/>
                            <w:szCs w:val="2"/>
                          </w:rPr>
                        </w:pPr>
                      </w:p>
                    </w:tc>
                    <w:tc>
                      <w:tcPr>
                        <w:tcW w:w="2224" w:type="dxa"/>
                        <w:shd w:val="clear" w:color="auto" w:fill="D4F1EB"/>
                      </w:tcPr>
                      <w:p>
                        <w:pPr>
                          <w:pStyle w:val="TableParagraph"/>
                          <w:spacing w:line="224" w:lineRule="exact"/>
                          <w:ind w:left="135" w:right="178"/>
                          <w:jc w:val="center"/>
                          <w:rPr>
                            <w:sz w:val="20"/>
                          </w:rPr>
                        </w:pPr>
                        <w:r>
                          <w:rPr>
                            <w:sz w:val="20"/>
                          </w:rPr>
                          <w:t>To provide reliable,</w:t>
                        </w:r>
                      </w:p>
                    </w:tc>
                    <w:tc>
                      <w:tcPr>
                        <w:tcW w:w="2196" w:type="dxa"/>
                        <w:shd w:val="clear" w:color="auto" w:fill="D4F1EB"/>
                      </w:tcPr>
                      <w:p>
                        <w:pPr>
                          <w:pStyle w:val="TableParagraph"/>
                          <w:spacing w:line="224" w:lineRule="exact"/>
                          <w:ind w:left="180" w:right="133"/>
                          <w:jc w:val="center"/>
                          <w:rPr>
                            <w:sz w:val="20"/>
                          </w:rPr>
                        </w:pPr>
                        <w:r>
                          <w:rPr>
                            <w:sz w:val="20"/>
                          </w:rPr>
                          <w:t>Providing incorrect or</w:t>
                        </w:r>
                      </w:p>
                    </w:tc>
                    <w:tc>
                      <w:tcPr>
                        <w:tcW w:w="2364" w:type="dxa"/>
                        <w:shd w:val="clear" w:color="auto" w:fill="D4F1EB"/>
                      </w:tcPr>
                      <w:p>
                        <w:pPr>
                          <w:pStyle w:val="TableParagraph"/>
                          <w:spacing w:line="224" w:lineRule="exact"/>
                          <w:ind w:left="132" w:right="95"/>
                          <w:jc w:val="center"/>
                          <w:rPr>
                            <w:sz w:val="20"/>
                          </w:rPr>
                        </w:pPr>
                        <w:r>
                          <w:rPr>
                            <w:sz w:val="20"/>
                          </w:rPr>
                          <w:t>to meet deadlines.</w:t>
                        </w:r>
                      </w:p>
                    </w:tc>
                    <w:tc>
                      <w:tcPr>
                        <w:tcW w:w="2179" w:type="dxa"/>
                        <w:shd w:val="clear" w:color="auto" w:fill="D4F1EB"/>
                      </w:tcPr>
                      <w:p>
                        <w:pPr>
                          <w:pStyle w:val="TableParagraph"/>
                          <w:spacing w:line="224" w:lineRule="exact"/>
                          <w:ind w:left="98" w:right="98"/>
                          <w:jc w:val="center"/>
                          <w:rPr>
                            <w:sz w:val="20"/>
                          </w:rPr>
                        </w:pPr>
                        <w:r>
                          <w:rPr>
                            <w:sz w:val="20"/>
                          </w:rPr>
                          <w:t>and produce high level</w:t>
                        </w:r>
                      </w:p>
                    </w:tc>
                  </w:tr>
                  <w:tr>
                    <w:trPr>
                      <w:trHeight w:val="243" w:hRule="atLeast"/>
                    </w:trPr>
                    <w:tc>
                      <w:tcPr>
                        <w:tcW w:w="1104" w:type="dxa"/>
                        <w:vMerge/>
                        <w:tcBorders>
                          <w:top w:val="nil"/>
                        </w:tcBorders>
                      </w:tcPr>
                      <w:p>
                        <w:pPr>
                          <w:rPr>
                            <w:sz w:val="2"/>
                            <w:szCs w:val="2"/>
                          </w:rPr>
                        </w:pPr>
                      </w:p>
                    </w:tc>
                    <w:tc>
                      <w:tcPr>
                        <w:tcW w:w="2224" w:type="dxa"/>
                        <w:shd w:val="clear" w:color="auto" w:fill="D4F1EB"/>
                      </w:tcPr>
                      <w:p>
                        <w:pPr>
                          <w:pStyle w:val="TableParagraph"/>
                          <w:spacing w:line="224" w:lineRule="exact"/>
                          <w:ind w:left="135" w:right="179"/>
                          <w:jc w:val="center"/>
                          <w:rPr>
                            <w:sz w:val="20"/>
                          </w:rPr>
                        </w:pPr>
                        <w:r>
                          <w:rPr>
                            <w:sz w:val="20"/>
                          </w:rPr>
                          <w:t>appropriate and timely</w:t>
                        </w:r>
                      </w:p>
                    </w:tc>
                    <w:tc>
                      <w:tcPr>
                        <w:tcW w:w="2196" w:type="dxa"/>
                        <w:shd w:val="clear" w:color="auto" w:fill="D4F1EB"/>
                      </w:tcPr>
                      <w:p>
                        <w:pPr>
                          <w:pStyle w:val="TableParagraph"/>
                          <w:spacing w:line="224" w:lineRule="exact"/>
                          <w:ind w:left="176" w:right="133"/>
                          <w:jc w:val="center"/>
                          <w:rPr>
                            <w:sz w:val="20"/>
                          </w:rPr>
                        </w:pPr>
                        <w:r>
                          <w:rPr>
                            <w:sz w:val="20"/>
                          </w:rPr>
                          <w:t>unclear advice. Not</w:t>
                        </w:r>
                      </w:p>
                    </w:tc>
                    <w:tc>
                      <w:tcPr>
                        <w:tcW w:w="2364" w:type="dxa"/>
                        <w:shd w:val="clear" w:color="auto" w:fill="D4F1EB"/>
                      </w:tcPr>
                      <w:p>
                        <w:pPr>
                          <w:pStyle w:val="TableParagraph"/>
                          <w:spacing w:line="224" w:lineRule="exact"/>
                          <w:ind w:left="132" w:right="97"/>
                          <w:jc w:val="center"/>
                          <w:rPr>
                            <w:sz w:val="20"/>
                          </w:rPr>
                        </w:pPr>
                        <w:r>
                          <w:rPr>
                            <w:sz w:val="20"/>
                          </w:rPr>
                          <w:t>Training to ensure</w:t>
                        </w:r>
                      </w:p>
                    </w:tc>
                    <w:tc>
                      <w:tcPr>
                        <w:tcW w:w="2179" w:type="dxa"/>
                        <w:shd w:val="clear" w:color="auto" w:fill="D4F1EB"/>
                      </w:tcPr>
                      <w:p>
                        <w:pPr>
                          <w:pStyle w:val="TableParagraph"/>
                          <w:spacing w:line="224" w:lineRule="exact"/>
                          <w:ind w:left="99" w:right="98"/>
                          <w:jc w:val="center"/>
                          <w:rPr>
                            <w:sz w:val="20"/>
                          </w:rPr>
                        </w:pPr>
                        <w:r>
                          <w:rPr>
                            <w:sz w:val="20"/>
                          </w:rPr>
                          <w:t>results. We provide</w:t>
                        </w:r>
                      </w:p>
                    </w:tc>
                  </w:tr>
                  <w:tr>
                    <w:trPr>
                      <w:trHeight w:val="244" w:hRule="atLeast"/>
                    </w:trPr>
                    <w:tc>
                      <w:tcPr>
                        <w:tcW w:w="1104" w:type="dxa"/>
                        <w:vMerge/>
                        <w:tcBorders>
                          <w:top w:val="nil"/>
                        </w:tcBorders>
                      </w:tcPr>
                      <w:p>
                        <w:pPr>
                          <w:rPr>
                            <w:sz w:val="2"/>
                            <w:szCs w:val="2"/>
                          </w:rPr>
                        </w:pPr>
                      </w:p>
                    </w:tc>
                    <w:tc>
                      <w:tcPr>
                        <w:tcW w:w="2224" w:type="dxa"/>
                        <w:shd w:val="clear" w:color="auto" w:fill="D4F1EB"/>
                      </w:tcPr>
                      <w:p>
                        <w:pPr>
                          <w:pStyle w:val="TableParagraph"/>
                          <w:spacing w:line="225" w:lineRule="exact"/>
                          <w:ind w:left="133" w:right="179"/>
                          <w:jc w:val="center"/>
                          <w:rPr>
                            <w:sz w:val="20"/>
                          </w:rPr>
                        </w:pPr>
                        <w:r>
                          <w:rPr>
                            <w:sz w:val="20"/>
                          </w:rPr>
                          <w:t>advice to designated</w:t>
                        </w:r>
                      </w:p>
                    </w:tc>
                    <w:tc>
                      <w:tcPr>
                        <w:tcW w:w="2196" w:type="dxa"/>
                        <w:shd w:val="clear" w:color="auto" w:fill="D4F1EB"/>
                      </w:tcPr>
                      <w:p>
                        <w:pPr>
                          <w:pStyle w:val="TableParagraph"/>
                          <w:spacing w:line="225" w:lineRule="exact"/>
                          <w:ind w:left="179" w:right="133"/>
                          <w:jc w:val="center"/>
                          <w:rPr>
                            <w:sz w:val="20"/>
                          </w:rPr>
                        </w:pPr>
                        <w:r>
                          <w:rPr>
                            <w:sz w:val="20"/>
                          </w:rPr>
                          <w:t>providing advice in a</w:t>
                        </w:r>
                      </w:p>
                    </w:tc>
                    <w:tc>
                      <w:tcPr>
                        <w:tcW w:w="2364" w:type="dxa"/>
                        <w:shd w:val="clear" w:color="auto" w:fill="D4F1EB"/>
                      </w:tcPr>
                      <w:p>
                        <w:pPr>
                          <w:pStyle w:val="TableParagraph"/>
                          <w:spacing w:line="225" w:lineRule="exact"/>
                          <w:ind w:left="132" w:right="94"/>
                          <w:jc w:val="center"/>
                          <w:rPr>
                            <w:sz w:val="20"/>
                          </w:rPr>
                        </w:pPr>
                        <w:r>
                          <w:rPr>
                            <w:sz w:val="20"/>
                          </w:rPr>
                          <w:t>reliable, appropriate</w:t>
                        </w:r>
                      </w:p>
                    </w:tc>
                    <w:tc>
                      <w:tcPr>
                        <w:tcW w:w="2179" w:type="dxa"/>
                        <w:shd w:val="clear" w:color="auto" w:fill="D4F1EB"/>
                      </w:tcPr>
                      <w:p>
                        <w:pPr>
                          <w:pStyle w:val="TableParagraph"/>
                          <w:spacing w:line="225" w:lineRule="exact"/>
                          <w:ind w:left="99" w:right="98"/>
                          <w:jc w:val="center"/>
                          <w:rPr>
                            <w:sz w:val="20"/>
                          </w:rPr>
                        </w:pPr>
                        <w:r>
                          <w:rPr>
                            <w:sz w:val="20"/>
                          </w:rPr>
                          <w:t>advice in a reasonable</w:t>
                        </w:r>
                      </w:p>
                    </w:tc>
                  </w:tr>
                  <w:tr>
                    <w:trPr>
                      <w:trHeight w:val="262" w:hRule="atLeast"/>
                    </w:trPr>
                    <w:tc>
                      <w:tcPr>
                        <w:tcW w:w="1104" w:type="dxa"/>
                        <w:shd w:val="clear" w:color="auto" w:fill="D4F1EB"/>
                      </w:tcPr>
                      <w:p>
                        <w:pPr>
                          <w:pStyle w:val="TableParagraph"/>
                          <w:spacing w:line="225" w:lineRule="exact" w:before="17"/>
                          <w:ind w:right="161"/>
                          <w:jc w:val="right"/>
                          <w:rPr>
                            <w:b/>
                            <w:sz w:val="20"/>
                          </w:rPr>
                        </w:pPr>
                        <w:r>
                          <w:rPr>
                            <w:b/>
                            <w:color w:val="FF6621"/>
                            <w:sz w:val="20"/>
                          </w:rPr>
                          <w:t>Integrity</w:t>
                        </w:r>
                      </w:p>
                    </w:tc>
                    <w:tc>
                      <w:tcPr>
                        <w:tcW w:w="2224" w:type="dxa"/>
                        <w:shd w:val="clear" w:color="auto" w:fill="D4F1EB"/>
                      </w:tcPr>
                      <w:p>
                        <w:pPr>
                          <w:pStyle w:val="TableParagraph"/>
                          <w:spacing w:line="226" w:lineRule="exact"/>
                          <w:ind w:left="132" w:right="179"/>
                          <w:jc w:val="center"/>
                          <w:rPr>
                            <w:sz w:val="20"/>
                          </w:rPr>
                        </w:pPr>
                        <w:r>
                          <w:rPr>
                            <w:sz w:val="20"/>
                          </w:rPr>
                          <w:t>persons on ethics and</w:t>
                        </w:r>
                      </w:p>
                    </w:tc>
                    <w:tc>
                      <w:tcPr>
                        <w:tcW w:w="2196" w:type="dxa"/>
                        <w:shd w:val="clear" w:color="auto" w:fill="D4F1EB"/>
                      </w:tcPr>
                      <w:p>
                        <w:pPr>
                          <w:pStyle w:val="TableParagraph"/>
                          <w:spacing w:line="226" w:lineRule="exact"/>
                          <w:ind w:left="180" w:right="133"/>
                          <w:jc w:val="center"/>
                          <w:rPr>
                            <w:sz w:val="20"/>
                          </w:rPr>
                        </w:pPr>
                        <w:r>
                          <w:rPr>
                            <w:sz w:val="20"/>
                          </w:rPr>
                          <w:t>timely manner. Loss of</w:t>
                        </w:r>
                      </w:p>
                    </w:tc>
                    <w:tc>
                      <w:tcPr>
                        <w:tcW w:w="2364" w:type="dxa"/>
                        <w:shd w:val="clear" w:color="auto" w:fill="D4F1EB"/>
                      </w:tcPr>
                      <w:p>
                        <w:pPr>
                          <w:pStyle w:val="TableParagraph"/>
                          <w:spacing w:line="226" w:lineRule="exact"/>
                          <w:ind w:left="132" w:right="96"/>
                          <w:jc w:val="center"/>
                          <w:rPr>
                            <w:sz w:val="20"/>
                          </w:rPr>
                        </w:pPr>
                        <w:r>
                          <w:rPr>
                            <w:sz w:val="20"/>
                          </w:rPr>
                          <w:t>advice. Putting quality</w:t>
                        </w:r>
                      </w:p>
                    </w:tc>
                    <w:tc>
                      <w:tcPr>
                        <w:tcW w:w="2179" w:type="dxa"/>
                        <w:shd w:val="clear" w:color="auto" w:fill="D4F1EB"/>
                      </w:tcPr>
                      <w:p>
                        <w:pPr>
                          <w:pStyle w:val="TableParagraph"/>
                          <w:spacing w:line="226" w:lineRule="exact"/>
                          <w:ind w:left="98" w:right="98"/>
                          <w:jc w:val="center"/>
                          <w:rPr>
                            <w:sz w:val="20"/>
                          </w:rPr>
                        </w:pPr>
                        <w:r>
                          <w:rPr>
                            <w:sz w:val="20"/>
                          </w:rPr>
                          <w:t>timeframe for the</w:t>
                        </w:r>
                      </w:p>
                    </w:tc>
                  </w:tr>
                  <w:tr>
                    <w:trPr>
                      <w:trHeight w:val="604" w:hRule="atLeast"/>
                    </w:trPr>
                    <w:tc>
                      <w:tcPr>
                        <w:tcW w:w="1104" w:type="dxa"/>
                        <w:shd w:val="clear" w:color="auto" w:fill="D4F1EB"/>
                      </w:tcPr>
                      <w:p>
                        <w:pPr>
                          <w:pStyle w:val="TableParagraph"/>
                          <w:spacing w:line="244" w:lineRule="exact"/>
                          <w:ind w:right="153"/>
                          <w:jc w:val="right"/>
                          <w:rPr>
                            <w:b/>
                            <w:sz w:val="20"/>
                          </w:rPr>
                        </w:pPr>
                        <w:r>
                          <w:rPr>
                            <w:b/>
                            <w:color w:val="FF6621"/>
                            <w:w w:val="95"/>
                            <w:sz w:val="20"/>
                          </w:rPr>
                          <w:t>Function</w:t>
                        </w:r>
                      </w:p>
                    </w:tc>
                    <w:tc>
                      <w:tcPr>
                        <w:tcW w:w="2224" w:type="dxa"/>
                        <w:shd w:val="clear" w:color="auto" w:fill="D4F1EB"/>
                      </w:tcPr>
                      <w:p>
                        <w:pPr>
                          <w:pStyle w:val="TableParagraph"/>
                          <w:spacing w:line="208" w:lineRule="exact"/>
                          <w:ind w:left="131" w:right="179"/>
                          <w:jc w:val="center"/>
                          <w:rPr>
                            <w:sz w:val="20"/>
                          </w:rPr>
                        </w:pPr>
                        <w:r>
                          <w:rPr>
                            <w:sz w:val="20"/>
                          </w:rPr>
                          <w:t>integrity issues.</w:t>
                        </w:r>
                      </w:p>
                    </w:tc>
                    <w:tc>
                      <w:tcPr>
                        <w:tcW w:w="2196" w:type="dxa"/>
                        <w:shd w:val="clear" w:color="auto" w:fill="D4F1EB"/>
                      </w:tcPr>
                      <w:p>
                        <w:pPr>
                          <w:pStyle w:val="TableParagraph"/>
                          <w:spacing w:line="208" w:lineRule="exact"/>
                          <w:ind w:left="177" w:right="133"/>
                          <w:jc w:val="center"/>
                          <w:rPr>
                            <w:sz w:val="20"/>
                          </w:rPr>
                        </w:pPr>
                        <w:r>
                          <w:rPr>
                            <w:sz w:val="20"/>
                          </w:rPr>
                          <w:t>reputation.</w:t>
                        </w:r>
                      </w:p>
                    </w:tc>
                    <w:tc>
                      <w:tcPr>
                        <w:tcW w:w="2364" w:type="dxa"/>
                        <w:shd w:val="clear" w:color="auto" w:fill="D4F1EB"/>
                      </w:tcPr>
                      <w:p>
                        <w:pPr>
                          <w:pStyle w:val="TableParagraph"/>
                          <w:spacing w:line="207" w:lineRule="exact"/>
                          <w:ind w:left="132" w:right="96"/>
                          <w:jc w:val="center"/>
                          <w:rPr>
                            <w:sz w:val="20"/>
                          </w:rPr>
                        </w:pPr>
                        <w:r>
                          <w:rPr>
                            <w:sz w:val="20"/>
                          </w:rPr>
                          <w:t>assurance systems in</w:t>
                        </w:r>
                      </w:p>
                      <w:p>
                        <w:pPr>
                          <w:pStyle w:val="TableParagraph"/>
                          <w:spacing w:line="243" w:lineRule="exact"/>
                          <w:ind w:left="130" w:right="97"/>
                          <w:jc w:val="center"/>
                          <w:rPr>
                            <w:sz w:val="20"/>
                          </w:rPr>
                        </w:pPr>
                        <w:r>
                          <w:rPr>
                            <w:sz w:val="20"/>
                          </w:rPr>
                          <w:t>place.</w:t>
                        </w:r>
                      </w:p>
                    </w:tc>
                    <w:tc>
                      <w:tcPr>
                        <w:tcW w:w="2179" w:type="dxa"/>
                        <w:shd w:val="clear" w:color="auto" w:fill="D4F1EB"/>
                      </w:tcPr>
                      <w:p>
                        <w:pPr>
                          <w:pStyle w:val="TableParagraph"/>
                          <w:spacing w:line="207" w:lineRule="exact"/>
                          <w:ind w:left="99" w:right="97"/>
                          <w:jc w:val="center"/>
                          <w:rPr>
                            <w:sz w:val="20"/>
                          </w:rPr>
                        </w:pPr>
                        <w:r>
                          <w:rPr>
                            <w:sz w:val="20"/>
                          </w:rPr>
                          <w:t>designated person’s</w:t>
                        </w:r>
                      </w:p>
                      <w:p>
                        <w:pPr>
                          <w:pStyle w:val="TableParagraph"/>
                          <w:spacing w:line="243" w:lineRule="exact"/>
                          <w:ind w:left="98" w:right="98"/>
                          <w:jc w:val="center"/>
                          <w:rPr>
                            <w:sz w:val="20"/>
                          </w:rPr>
                        </w:pPr>
                        <w:r>
                          <w:rPr>
                            <w:sz w:val="20"/>
                          </w:rPr>
                          <w:t>purpose.</w:t>
                        </w:r>
                      </w:p>
                    </w:tc>
                  </w:tr>
                </w:tbl>
                <w:p>
                  <w:pPr>
                    <w:pStyle w:val="BodyText"/>
                  </w:pPr>
                </w:p>
              </w:txbxContent>
            </v:textbox>
            <w10:wrap type="none"/>
          </v:shape>
        </w:pict>
      </w:r>
      <w:r>
        <w:rPr>
          <w:rFonts w:ascii="Gill Sans MT" w:hAnsi="Gill Sans MT"/>
          <w:color w:val="2CB99D"/>
          <w:sz w:val="32"/>
        </w:rPr>
        <w:t>S</w:t>
      </w:r>
      <w:r>
        <w:rPr>
          <w:rFonts w:ascii="Gill Sans MT" w:hAnsi="Gill Sans MT"/>
          <w:color w:val="2CB99D"/>
          <w:sz w:val="25"/>
        </w:rPr>
        <w:t>TRATEGIC </w:t>
      </w:r>
      <w:r>
        <w:rPr>
          <w:rFonts w:ascii="Gill Sans MT" w:hAnsi="Gill Sans MT"/>
          <w:color w:val="2CB99D"/>
          <w:sz w:val="32"/>
        </w:rPr>
        <w:t>P</w:t>
      </w:r>
      <w:r>
        <w:rPr>
          <w:rFonts w:ascii="Gill Sans MT" w:hAnsi="Gill Sans MT"/>
          <w:color w:val="2CB99D"/>
          <w:sz w:val="25"/>
        </w:rPr>
        <w:t>LAN </w:t>
      </w:r>
      <w:r>
        <w:rPr>
          <w:rFonts w:ascii="Gill Sans MT" w:hAnsi="Gill Sans MT"/>
          <w:color w:val="2CB99D"/>
          <w:sz w:val="32"/>
        </w:rPr>
        <w:t>2019–2022</w:t>
      </w: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spacing w:before="6"/>
        <w:rPr>
          <w:rFonts w:ascii="Gill Sans MT"/>
          <w:sz w:val="18"/>
        </w:rPr>
      </w:pPr>
      <w:r>
        <w:rPr/>
        <w:pict>
          <v:group style="position:absolute;margin-left:35.563999pt;margin-top:12.706601pt;width:770.3pt;height:154.5pt;mso-position-horizontal-relative:page;mso-position-vertical-relative:paragraph;z-index:-496;mso-wrap-distance-left:0;mso-wrap-distance-right:0" coordorigin="711,254" coordsize="15406,3090">
            <v:rect style="position:absolute;left:711;top:254;width:15406;height:3090" filled="true" fillcolor="#d9d9d9" stroked="false">
              <v:fill opacity="49087f" type="solid"/>
            </v:rect>
            <v:shape style="position:absolute;left:2023;top:630;width:1008;height:1008" type="#_x0000_t75" stroked="false">
              <v:imagedata r:id="rId29" o:title=""/>
            </v:shape>
            <v:shape style="position:absolute;left:5946;top:640;width:1008;height:988" type="#_x0000_t75" stroked="false">
              <v:imagedata r:id="rId30" o:title=""/>
            </v:shape>
            <v:shape style="position:absolute;left:9869;top:631;width:1008;height:1005" type="#_x0000_t75" stroked="false">
              <v:imagedata r:id="rId31" o:title=""/>
            </v:shape>
            <v:shape style="position:absolute;left:13792;top:634;width:1008;height:1000" type="#_x0000_t75" stroked="false">
              <v:imagedata r:id="rId32" o:title=""/>
            </v:shape>
            <v:shape style="position:absolute;left:12710;top:1692;width:3193;height:1246" type="#_x0000_t202" filled="false" stroked="false">
              <v:textbox inset="0,0,0,0">
                <w:txbxContent>
                  <w:p>
                    <w:pPr>
                      <w:spacing w:line="203" w:lineRule="exact" w:before="0"/>
                      <w:ind w:left="0" w:right="18" w:firstLine="0"/>
                      <w:jc w:val="center"/>
                      <w:rPr>
                        <w:b/>
                        <w:sz w:val="20"/>
                      </w:rPr>
                    </w:pPr>
                    <w:r>
                      <w:rPr>
                        <w:b/>
                        <w:color w:val="43C5B8"/>
                        <w:sz w:val="20"/>
                      </w:rPr>
                      <w:t>Resolve</w:t>
                    </w:r>
                  </w:p>
                  <w:p>
                    <w:pPr>
                      <w:spacing w:before="70"/>
                      <w:ind w:left="0" w:right="18" w:firstLine="0"/>
                      <w:jc w:val="center"/>
                      <w:rPr>
                        <w:sz w:val="20"/>
                      </w:rPr>
                    </w:pPr>
                    <w:r>
                      <w:rPr>
                        <w:sz w:val="20"/>
                      </w:rPr>
                      <w:t>Value integrity by embedding</w:t>
                    </w:r>
                    <w:r>
                      <w:rPr>
                        <w:spacing w:val="-14"/>
                        <w:sz w:val="20"/>
                      </w:rPr>
                      <w:t> </w:t>
                    </w:r>
                    <w:r>
                      <w:rPr>
                        <w:sz w:val="20"/>
                      </w:rPr>
                      <w:t>integrity. Support and assist designated persons to resolve ethics and integrity issues in the public</w:t>
                    </w:r>
                    <w:r>
                      <w:rPr>
                        <w:spacing w:val="-3"/>
                        <w:sz w:val="20"/>
                      </w:rPr>
                      <w:t> </w:t>
                    </w:r>
                    <w:r>
                      <w:rPr>
                        <w:sz w:val="20"/>
                      </w:rPr>
                      <w:t>interest.</w:t>
                    </w:r>
                  </w:p>
                </w:txbxContent>
              </v:textbox>
              <w10:wrap type="none"/>
            </v:shape>
            <v:shape style="position:absolute;left:8806;top:1692;width:3152;height:1246" type="#_x0000_t202" filled="false" stroked="false">
              <v:textbox inset="0,0,0,0">
                <w:txbxContent>
                  <w:p>
                    <w:pPr>
                      <w:spacing w:line="203" w:lineRule="exact" w:before="0"/>
                      <w:ind w:left="741" w:right="753" w:firstLine="0"/>
                      <w:jc w:val="center"/>
                      <w:rPr>
                        <w:b/>
                        <w:sz w:val="20"/>
                      </w:rPr>
                    </w:pPr>
                    <w:r>
                      <w:rPr>
                        <w:b/>
                        <w:color w:val="E64E41"/>
                        <w:sz w:val="20"/>
                      </w:rPr>
                      <w:t>Lead</w:t>
                    </w:r>
                  </w:p>
                  <w:p>
                    <w:pPr>
                      <w:spacing w:before="70"/>
                      <w:ind w:left="129" w:right="0" w:hanging="104"/>
                      <w:jc w:val="left"/>
                      <w:rPr>
                        <w:sz w:val="20"/>
                      </w:rPr>
                    </w:pPr>
                    <w:r>
                      <w:rPr>
                        <w:sz w:val="20"/>
                      </w:rPr>
                      <w:t>Value integrity by projecting</w:t>
                    </w:r>
                    <w:r>
                      <w:rPr>
                        <w:spacing w:val="-19"/>
                        <w:sz w:val="20"/>
                      </w:rPr>
                      <w:t> </w:t>
                    </w:r>
                    <w:r>
                      <w:rPr>
                        <w:sz w:val="20"/>
                      </w:rPr>
                      <w:t>integrity.</w:t>
                    </w:r>
                  </w:p>
                  <w:p>
                    <w:pPr>
                      <w:spacing w:before="1"/>
                      <w:ind w:left="0" w:right="16" w:firstLine="129"/>
                      <w:jc w:val="left"/>
                      <w:rPr>
                        <w:sz w:val="20"/>
                      </w:rPr>
                    </w:pPr>
                    <w:r>
                      <w:rPr>
                        <w:sz w:val="20"/>
                      </w:rPr>
                      <w:t>Show leadership by developing and promoting good practice standards</w:t>
                    </w:r>
                    <w:r>
                      <w:rPr>
                        <w:spacing w:val="-22"/>
                        <w:sz w:val="20"/>
                      </w:rPr>
                      <w:t> </w:t>
                    </w:r>
                    <w:r>
                      <w:rPr>
                        <w:sz w:val="20"/>
                      </w:rPr>
                      <w:t>for</w:t>
                    </w:r>
                  </w:p>
                  <w:p>
                    <w:pPr>
                      <w:spacing w:line="240" w:lineRule="exact" w:before="0"/>
                      <w:ind w:left="741" w:right="758" w:firstLine="0"/>
                      <w:jc w:val="center"/>
                      <w:rPr>
                        <w:sz w:val="20"/>
                      </w:rPr>
                    </w:pPr>
                    <w:r>
                      <w:rPr>
                        <w:sz w:val="20"/>
                      </w:rPr>
                      <w:t>ethics and integrity.</w:t>
                    </w:r>
                  </w:p>
                </w:txbxContent>
              </v:textbox>
              <w10:wrap type="none"/>
            </v:shape>
            <v:shape style="position:absolute;left:4834;top:1692;width:3247;height:1491" type="#_x0000_t202" filled="false" stroked="false">
              <v:textbox inset="0,0,0,0">
                <w:txbxContent>
                  <w:p>
                    <w:pPr>
                      <w:spacing w:line="203" w:lineRule="exact" w:before="0"/>
                      <w:ind w:left="269" w:right="280" w:firstLine="0"/>
                      <w:jc w:val="center"/>
                      <w:rPr>
                        <w:b/>
                        <w:sz w:val="20"/>
                      </w:rPr>
                    </w:pPr>
                    <w:r>
                      <w:rPr>
                        <w:b/>
                        <w:color w:val="998575"/>
                        <w:sz w:val="20"/>
                      </w:rPr>
                      <w:t>Engage</w:t>
                    </w:r>
                  </w:p>
                  <w:p>
                    <w:pPr>
                      <w:spacing w:before="70"/>
                      <w:ind w:left="247" w:right="0" w:hanging="190"/>
                      <w:jc w:val="left"/>
                      <w:rPr>
                        <w:sz w:val="20"/>
                      </w:rPr>
                    </w:pPr>
                    <w:r>
                      <w:rPr>
                        <w:sz w:val="20"/>
                      </w:rPr>
                      <w:t>Value integrity by promoting integrity.</w:t>
                    </w:r>
                  </w:p>
                  <w:p>
                    <w:pPr>
                      <w:spacing w:before="1"/>
                      <w:ind w:left="0" w:right="-9" w:firstLine="247"/>
                      <w:jc w:val="left"/>
                      <w:rPr>
                        <w:sz w:val="20"/>
                      </w:rPr>
                    </w:pPr>
                    <w:r>
                      <w:rPr>
                        <w:sz w:val="20"/>
                      </w:rPr>
                      <w:t>Engage with the public and public officials to raise awareness about ethics</w:t>
                    </w:r>
                  </w:p>
                  <w:p>
                    <w:pPr>
                      <w:spacing w:before="0"/>
                      <w:ind w:left="269" w:right="288" w:firstLine="0"/>
                      <w:jc w:val="center"/>
                      <w:rPr>
                        <w:sz w:val="20"/>
                      </w:rPr>
                    </w:pPr>
                    <w:r>
                      <w:rPr>
                        <w:sz w:val="20"/>
                      </w:rPr>
                      <w:t>and integrity, and the role of the Integrity Commissioner.</w:t>
                    </w:r>
                  </w:p>
                </w:txbxContent>
              </v:textbox>
              <w10:wrap type="none"/>
            </v:shape>
            <v:shape style="position:absolute;left:1022;top:1692;width:3027;height:1246" type="#_x0000_t202" filled="false" stroked="false">
              <v:textbox inset="0,0,0,0">
                <w:txbxContent>
                  <w:p>
                    <w:pPr>
                      <w:spacing w:line="203" w:lineRule="exact" w:before="0"/>
                      <w:ind w:left="0" w:right="20" w:firstLine="0"/>
                      <w:jc w:val="center"/>
                      <w:rPr>
                        <w:b/>
                        <w:sz w:val="20"/>
                      </w:rPr>
                    </w:pPr>
                    <w:r>
                      <w:rPr>
                        <w:b/>
                        <w:color w:val="D09B3E"/>
                        <w:sz w:val="20"/>
                      </w:rPr>
                      <w:t>Challenge</w:t>
                    </w:r>
                  </w:p>
                  <w:p>
                    <w:pPr>
                      <w:spacing w:before="70"/>
                      <w:ind w:left="0" w:right="18" w:firstLine="0"/>
                      <w:jc w:val="center"/>
                      <w:rPr>
                        <w:sz w:val="20"/>
                      </w:rPr>
                    </w:pPr>
                    <w:r>
                      <w:rPr>
                        <w:sz w:val="20"/>
                      </w:rPr>
                      <w:t>Value integrity by contributing to research in the area of integrity.</w:t>
                    </w:r>
                  </w:p>
                  <w:p>
                    <w:pPr>
                      <w:spacing w:before="0"/>
                      <w:ind w:left="0" w:right="18" w:firstLine="0"/>
                      <w:jc w:val="center"/>
                      <w:rPr>
                        <w:sz w:val="20"/>
                      </w:rPr>
                    </w:pPr>
                    <w:r>
                      <w:rPr>
                        <w:sz w:val="20"/>
                      </w:rPr>
                      <w:t>Challenge misconceptions and</w:t>
                    </w:r>
                    <w:r>
                      <w:rPr>
                        <w:spacing w:val="-16"/>
                        <w:sz w:val="20"/>
                      </w:rPr>
                      <w:t> </w:t>
                    </w:r>
                    <w:r>
                      <w:rPr>
                        <w:sz w:val="20"/>
                      </w:rPr>
                      <w:t>myths around ethics and</w:t>
                    </w:r>
                    <w:r>
                      <w:rPr>
                        <w:spacing w:val="-4"/>
                        <w:sz w:val="20"/>
                      </w:rPr>
                      <w:t> </w:t>
                    </w:r>
                    <w:r>
                      <w:rPr>
                        <w:sz w:val="20"/>
                      </w:rPr>
                      <w:t>integrity.</w:t>
                    </w:r>
                  </w:p>
                </w:txbxContent>
              </v:textbox>
              <w10:wrap type="none"/>
            </v:shape>
            <v:shape style="position:absolute;left:854;top:412;width:1125;height:257" type="#_x0000_t202" filled="false" stroked="false">
              <v:textbox inset="0,0,0,0">
                <w:txbxContent>
                  <w:p>
                    <w:pPr>
                      <w:spacing w:before="0"/>
                      <w:ind w:left="0" w:right="0" w:firstLine="0"/>
                      <w:jc w:val="left"/>
                      <w:rPr>
                        <w:rFonts w:ascii="Gill Sans MT"/>
                        <w:sz w:val="17"/>
                      </w:rPr>
                    </w:pPr>
                    <w:r>
                      <w:rPr>
                        <w:rFonts w:ascii="Gill Sans MT"/>
                        <w:color w:val="FF6621"/>
                        <w:sz w:val="22"/>
                      </w:rPr>
                      <w:t>O</w:t>
                    </w:r>
                    <w:r>
                      <w:rPr>
                        <w:rFonts w:ascii="Gill Sans MT"/>
                        <w:color w:val="FF6621"/>
                        <w:sz w:val="17"/>
                      </w:rPr>
                      <w:t>UR </w:t>
                    </w:r>
                    <w:r>
                      <w:rPr>
                        <w:rFonts w:ascii="Gill Sans MT"/>
                        <w:color w:val="FF6621"/>
                        <w:sz w:val="22"/>
                      </w:rPr>
                      <w:t>V</w:t>
                    </w:r>
                    <w:r>
                      <w:rPr>
                        <w:rFonts w:ascii="Gill Sans MT"/>
                        <w:color w:val="FF6621"/>
                        <w:sz w:val="17"/>
                      </w:rPr>
                      <w:t>ALUES</w:t>
                    </w:r>
                  </w:p>
                </w:txbxContent>
              </v:textbox>
              <w10:wrap type="none"/>
            </v:shape>
            <w10:wrap type="topAndBottom"/>
          </v:group>
        </w:pict>
      </w:r>
    </w:p>
    <w:p>
      <w:pPr>
        <w:spacing w:after="0"/>
        <w:rPr>
          <w:rFonts w:ascii="Gill Sans MT"/>
          <w:sz w:val="18"/>
        </w:rPr>
        <w:sectPr>
          <w:pgSz w:w="16840" w:h="11910" w:orient="landscape"/>
          <w:pgMar w:header="0" w:footer="310" w:top="660" w:bottom="540" w:left="540" w:right="260"/>
        </w:sectPr>
      </w:pPr>
    </w:p>
    <w:p>
      <w:pPr>
        <w:pStyle w:val="Heading2"/>
        <w:spacing w:before="80"/>
      </w:pPr>
      <w:r>
        <w:rPr>
          <w:color w:val="2CB99D"/>
          <w:w w:val="105"/>
          <w:sz w:val="32"/>
        </w:rPr>
        <w:t>I</w:t>
      </w:r>
      <w:r>
        <w:rPr>
          <w:color w:val="2CB99D"/>
          <w:w w:val="105"/>
        </w:rPr>
        <w:t>NTEGRITY </w:t>
      </w:r>
      <w:r>
        <w:rPr>
          <w:color w:val="2CB99D"/>
          <w:w w:val="105"/>
          <w:sz w:val="32"/>
        </w:rPr>
        <w:t>F</w:t>
      </w:r>
      <w:r>
        <w:rPr>
          <w:color w:val="2CB99D"/>
          <w:w w:val="105"/>
        </w:rPr>
        <w:t>UNCTION</w:t>
      </w:r>
    </w:p>
    <w:p>
      <w:pPr>
        <w:pStyle w:val="BodyText"/>
        <w:spacing w:line="276" w:lineRule="auto" w:before="94"/>
        <w:ind w:left="321"/>
      </w:pPr>
      <w:r>
        <w:rPr/>
        <w:t>Sections 7(1)(a) and 7(1)(b) of the </w:t>
      </w:r>
      <w:r>
        <w:rPr>
          <w:i/>
        </w:rPr>
        <w:t>Integrity Act 2009 </w:t>
      </w:r>
      <w:r>
        <w:rPr/>
        <w:t>set out two important functions of the Integrity Commissioner. The Integrity Commissioner gives formal advice to current or former designated persons on ethics or integrity issues.</w:t>
      </w:r>
    </w:p>
    <w:p>
      <w:pPr>
        <w:pStyle w:val="BodyText"/>
        <w:spacing w:line="276" w:lineRule="auto"/>
        <w:ind w:left="321" w:right="8"/>
      </w:pPr>
      <w:r>
        <w:rPr/>
        <w:t>Generally requests for formal advice must be received and responded to in writing, however, Members of the Legislative Assembly may also seek and receive advice orally. Members of the Legislative Assembly, including Ministers, may also</w:t>
      </w:r>
    </w:p>
    <w:p>
      <w:pPr>
        <w:pStyle w:val="BodyText"/>
        <w:spacing w:line="276" w:lineRule="auto"/>
        <w:ind w:left="321"/>
      </w:pPr>
      <w:r>
        <w:rPr/>
        <w:t>discuss their personal interests with the Integrity Commissioner without requiring formal advice. 22 such meetings occurred in 2018–2019. All discussions, whether formal advice is requested or not, remain relevant for satisfying obligations under the Ministerial Code of Conduct.</w:t>
      </w:r>
    </w:p>
    <w:p>
      <w:pPr>
        <w:spacing w:before="137"/>
        <w:ind w:left="321" w:right="0" w:firstLine="0"/>
        <w:jc w:val="left"/>
        <w:rPr>
          <w:rFonts w:ascii="Gill Sans MT"/>
          <w:sz w:val="17"/>
        </w:rPr>
      </w:pPr>
      <w:r>
        <w:rPr/>
        <w:br w:type="column"/>
      </w:r>
      <w:r>
        <w:rPr>
          <w:rFonts w:ascii="Gill Sans MT"/>
          <w:color w:val="FF6621"/>
          <w:w w:val="105"/>
          <w:sz w:val="22"/>
        </w:rPr>
        <w:t>S</w:t>
      </w:r>
      <w:r>
        <w:rPr>
          <w:rFonts w:ascii="Gill Sans MT"/>
          <w:color w:val="FF6621"/>
          <w:w w:val="105"/>
          <w:sz w:val="17"/>
        </w:rPr>
        <w:t>OURCE OF </w:t>
      </w:r>
      <w:r>
        <w:rPr>
          <w:rFonts w:ascii="Gill Sans MT"/>
          <w:color w:val="FF6621"/>
          <w:w w:val="105"/>
          <w:sz w:val="22"/>
        </w:rPr>
        <w:t>R</w:t>
      </w:r>
      <w:r>
        <w:rPr>
          <w:rFonts w:ascii="Gill Sans MT"/>
          <w:color w:val="FF6621"/>
          <w:w w:val="105"/>
          <w:sz w:val="17"/>
        </w:rPr>
        <w:t>EQUESTS</w:t>
      </w:r>
    </w:p>
    <w:p>
      <w:pPr>
        <w:pStyle w:val="BodyText"/>
        <w:spacing w:before="11"/>
        <w:rPr>
          <w:rFonts w:ascii="Gill Sans MT"/>
          <w:sz w:val="25"/>
        </w:rPr>
      </w:pPr>
      <w:r>
        <w:rPr/>
        <w:pict>
          <v:shape style="position:absolute;margin-left:703.950012pt;margin-top:17.523653pt;width:3.45pt;height:13.35pt;mso-position-horizontal-relative:page;mso-position-vertical-relative:paragraph;z-index:-208;mso-wrap-distance-left:0;mso-wrap-distance-right:0" coordorigin="14079,350" coordsize="69,267" path="m14079,350l14079,617,14147,617e" filled="false" stroked="true" strokeweight="1pt" strokecolor="#2cb99d">
            <v:path arrowok="t"/>
            <v:stroke dashstyle="shortdash"/>
            <w10:wrap type="topAndBottom"/>
          </v:shape>
        </w:pict>
      </w:r>
      <w:r>
        <w:rPr/>
        <w:pict>
          <v:group style="position:absolute;margin-left:712.869995pt;margin-top:21.343653pt;width:94.6pt;height:33.4pt;mso-position-horizontal-relative:page;mso-position-vertical-relative:paragraph;z-index:-160;mso-wrap-distance-left:0;mso-wrap-distance-right:0" coordorigin="14257,427" coordsize="1892,668">
            <v:rect style="position:absolute;left:14267;top:436;width:1872;height:648" filled="false" stroked="true" strokeweight="1pt" strokecolor="#2cb99d">
              <v:stroke dashstyle="shortdash"/>
            </v:rect>
            <v:shape style="position:absolute;left:14257;top:426;width:1892;height:668" type="#_x0000_t202" filled="false" stroked="false">
              <v:textbox inset="0,0,0,0">
                <w:txbxContent>
                  <w:p>
                    <w:pPr>
                      <w:spacing w:before="79"/>
                      <w:ind w:left="77" w:right="0" w:firstLine="0"/>
                      <w:jc w:val="left"/>
                      <w:rPr>
                        <w:sz w:val="20"/>
                      </w:rPr>
                    </w:pPr>
                    <w:r>
                      <w:rPr>
                        <w:b/>
                        <w:sz w:val="20"/>
                      </w:rPr>
                      <w:t>29 </w:t>
                    </w:r>
                    <w:r>
                      <w:rPr>
                        <w:sz w:val="20"/>
                      </w:rPr>
                      <w:t>Premier, Ministers or Assistant Ministers</w:t>
                    </w:r>
                  </w:p>
                </w:txbxContent>
              </v:textbox>
              <w10:wrap type="none"/>
            </v:shape>
            <w10:wrap type="topAndBottom"/>
          </v:group>
        </w:pict>
      </w:r>
    </w:p>
    <w:p>
      <w:pPr>
        <w:pStyle w:val="BodyText"/>
        <w:spacing w:before="7"/>
        <w:rPr>
          <w:rFonts w:ascii="Gill Sans MT"/>
          <w:sz w:val="6"/>
        </w:rPr>
      </w:pPr>
    </w:p>
    <w:p>
      <w:pPr>
        <w:pStyle w:val="BodyText"/>
        <w:ind w:left="2988"/>
        <w:rPr>
          <w:rFonts w:ascii="Gill Sans MT"/>
        </w:rPr>
      </w:pPr>
      <w:r>
        <w:rPr>
          <w:rFonts w:ascii="Gill Sans MT"/>
          <w:position w:val="0"/>
        </w:rPr>
        <w:pict>
          <v:shape style="width:113.8pt;height:16.95pt;mso-position-horizontal-relative:char;mso-position-vertical-relative:line" type="#_x0000_t202" filled="false" stroked="true" strokeweight="1pt" strokecolor="#2cb99d">
            <w10:anchorlock/>
            <v:textbox inset="0,0,0,0">
              <w:txbxContent>
                <w:p>
                  <w:pPr>
                    <w:pStyle w:val="BodyText"/>
                    <w:spacing w:before="59"/>
                    <w:ind w:left="57"/>
                  </w:pPr>
                  <w:r>
                    <w:rPr>
                      <w:b/>
                    </w:rPr>
                    <w:t>45 </w:t>
                  </w:r>
                  <w:r>
                    <w:rPr/>
                    <w:t>Statutory Office Holder</w:t>
                  </w:r>
                </w:p>
              </w:txbxContent>
            </v:textbox>
            <v:stroke dashstyle="solid"/>
          </v:shape>
        </w:pict>
      </w:r>
      <w:r>
        <w:rPr>
          <w:rFonts w:ascii="Gill Sans MT"/>
          <w:position w:val="0"/>
        </w:rPr>
      </w:r>
    </w:p>
    <w:p>
      <w:pPr>
        <w:pStyle w:val="BodyText"/>
        <w:spacing w:before="10"/>
        <w:rPr>
          <w:rFonts w:ascii="Gill Sans MT"/>
          <w:sz w:val="7"/>
        </w:rPr>
      </w:pPr>
    </w:p>
    <w:p>
      <w:pPr>
        <w:pStyle w:val="BodyText"/>
        <w:ind w:left="2988"/>
        <w:rPr>
          <w:rFonts w:ascii="Gill Sans MT"/>
        </w:rPr>
      </w:pPr>
      <w:r>
        <w:rPr>
          <w:rFonts w:ascii="Gill Sans MT"/>
          <w:position w:val="0"/>
        </w:rPr>
        <w:pict>
          <v:shape style="width:113.8pt;height:16.95pt;mso-position-horizontal-relative:char;mso-position-vertical-relative:line" type="#_x0000_t202" filled="false" stroked="true" strokeweight="1pt" strokecolor="#2cb99d">
            <w10:anchorlock/>
            <v:textbox inset="0,0,0,0">
              <w:txbxContent>
                <w:p>
                  <w:pPr>
                    <w:pStyle w:val="BodyText"/>
                    <w:spacing w:before="57"/>
                    <w:ind w:left="57"/>
                  </w:pPr>
                  <w:r>
                    <w:rPr>
                      <w:b/>
                    </w:rPr>
                    <w:t>19 </w:t>
                  </w:r>
                  <w:r>
                    <w:rPr/>
                    <w:t>Chief Executive</w:t>
                  </w:r>
                </w:p>
              </w:txbxContent>
            </v:textbox>
            <v:stroke dashstyle="solid"/>
          </v:shape>
        </w:pict>
      </w:r>
      <w:r>
        <w:rPr>
          <w:rFonts w:ascii="Gill Sans MT"/>
          <w:position w:val="0"/>
        </w:rPr>
      </w:r>
    </w:p>
    <w:p>
      <w:pPr>
        <w:spacing w:after="0"/>
        <w:rPr>
          <w:rFonts w:ascii="Gill Sans MT"/>
        </w:rPr>
        <w:sectPr>
          <w:pgSz w:w="16840" w:h="11910" w:orient="landscape"/>
          <w:pgMar w:header="0" w:footer="310" w:top="660" w:bottom="540" w:left="540" w:right="260"/>
          <w:cols w:num="2" w:equalWidth="0">
            <w:col w:w="10155" w:space="171"/>
            <w:col w:w="5714"/>
          </w:cols>
        </w:sectPr>
      </w:pPr>
    </w:p>
    <w:p>
      <w:pPr>
        <w:pStyle w:val="BodyText"/>
        <w:ind w:left="13314"/>
        <w:rPr>
          <w:rFonts w:ascii="Gill Sans MT"/>
        </w:rPr>
      </w:pPr>
      <w:r>
        <w:rPr>
          <w:rFonts w:ascii="Gill Sans MT"/>
          <w:position w:val="0"/>
        </w:rPr>
        <w:pict>
          <v:shape style="width:113.8pt;height:16.95pt;mso-position-horizontal-relative:char;mso-position-vertical-relative:line" type="#_x0000_t202" filled="false" stroked="true" strokeweight="1pt" strokecolor="#2cb99d">
            <w10:anchorlock/>
            <v:textbox inset="0,0,0,0">
              <w:txbxContent>
                <w:p>
                  <w:pPr>
                    <w:pStyle w:val="BodyText"/>
                    <w:spacing w:before="58"/>
                    <w:ind w:left="57"/>
                  </w:pPr>
                  <w:r>
                    <w:rPr>
                      <w:b/>
                    </w:rPr>
                    <w:t>12 </w:t>
                  </w:r>
                  <w:r>
                    <w:rPr/>
                    <w:t>Senior Exec./Officer</w:t>
                  </w:r>
                </w:p>
              </w:txbxContent>
            </v:textbox>
            <v:stroke dashstyle="solid"/>
          </v:shape>
        </w:pict>
      </w:r>
      <w:r>
        <w:rPr>
          <w:rFonts w:ascii="Gill Sans MT"/>
          <w:position w:val="0"/>
        </w:rPr>
      </w:r>
    </w:p>
    <w:p>
      <w:pPr>
        <w:pStyle w:val="BodyText"/>
        <w:spacing w:before="10"/>
        <w:rPr>
          <w:rFonts w:ascii="Gill Sans MT"/>
          <w:sz w:val="8"/>
        </w:rPr>
      </w:pPr>
    </w:p>
    <w:p>
      <w:pPr>
        <w:pStyle w:val="BodyText"/>
        <w:ind w:left="13314"/>
        <w:rPr>
          <w:rFonts w:ascii="Gill Sans MT"/>
        </w:rPr>
      </w:pPr>
      <w:r>
        <w:rPr>
          <w:rFonts w:ascii="Gill Sans MT"/>
          <w:position w:val="0"/>
        </w:rPr>
        <w:pict>
          <v:shape style="width:113.8pt;height:16.95pt;mso-position-horizontal-relative:char;mso-position-vertical-relative:line" type="#_x0000_t202" filled="false" stroked="true" strokeweight="1pt" strokecolor="#2cb99d">
            <w10:anchorlock/>
            <v:textbox inset="0,0,0,0">
              <w:txbxContent>
                <w:p>
                  <w:pPr>
                    <w:pStyle w:val="BodyText"/>
                    <w:spacing w:before="59"/>
                    <w:ind w:left="57"/>
                  </w:pPr>
                  <w:r>
                    <w:rPr>
                      <w:b/>
                    </w:rPr>
                    <w:t>21 </w:t>
                  </w:r>
                  <w:r>
                    <w:rPr/>
                    <w:t>Ministerial staff</w:t>
                  </w:r>
                </w:p>
              </w:txbxContent>
            </v:textbox>
            <v:stroke dashstyle="solid"/>
          </v:shape>
        </w:pict>
      </w:r>
      <w:r>
        <w:rPr>
          <w:rFonts w:ascii="Gill Sans MT"/>
          <w:position w:val="0"/>
        </w:rPr>
      </w:r>
    </w:p>
    <w:p>
      <w:pPr>
        <w:pStyle w:val="BodyText"/>
        <w:spacing w:before="7"/>
        <w:rPr>
          <w:rFonts w:ascii="Gill Sans MT"/>
          <w:sz w:val="9"/>
        </w:rPr>
      </w:pPr>
    </w:p>
    <w:p>
      <w:pPr>
        <w:spacing w:after="0"/>
        <w:rPr>
          <w:rFonts w:ascii="Gill Sans MT"/>
          <w:sz w:val="9"/>
        </w:rPr>
        <w:sectPr>
          <w:type w:val="continuous"/>
          <w:pgSz w:w="16840" w:h="11910" w:orient="landscape"/>
          <w:pgMar w:top="960" w:bottom="280" w:left="540" w:right="260"/>
        </w:sectPr>
      </w:pPr>
    </w:p>
    <w:p>
      <w:pPr>
        <w:pStyle w:val="BodyText"/>
        <w:rPr>
          <w:rFonts w:ascii="Gill Sans MT"/>
          <w:sz w:val="26"/>
        </w:rPr>
      </w:pPr>
    </w:p>
    <w:p>
      <w:pPr>
        <w:pStyle w:val="BodyText"/>
        <w:rPr>
          <w:rFonts w:ascii="Gill Sans MT"/>
          <w:sz w:val="26"/>
        </w:rPr>
      </w:pPr>
    </w:p>
    <w:p>
      <w:pPr>
        <w:pStyle w:val="BodyText"/>
        <w:rPr>
          <w:rFonts w:ascii="Gill Sans MT"/>
          <w:sz w:val="26"/>
        </w:rPr>
      </w:pPr>
    </w:p>
    <w:p>
      <w:pPr>
        <w:pStyle w:val="BodyText"/>
        <w:rPr>
          <w:rFonts w:ascii="Gill Sans MT"/>
          <w:sz w:val="26"/>
        </w:rPr>
      </w:pPr>
    </w:p>
    <w:p>
      <w:pPr>
        <w:spacing w:before="219"/>
        <w:ind w:left="321" w:right="0" w:firstLine="0"/>
        <w:jc w:val="left"/>
        <w:rPr>
          <w:rFonts w:ascii="Gill Sans MT"/>
          <w:sz w:val="17"/>
        </w:rPr>
      </w:pPr>
      <w:r>
        <w:rPr>
          <w:rFonts w:ascii="Gill Sans MT"/>
          <w:color w:val="FF6621"/>
          <w:w w:val="105"/>
          <w:sz w:val="22"/>
        </w:rPr>
        <w:t>H</w:t>
      </w:r>
      <w:r>
        <w:rPr>
          <w:rFonts w:ascii="Gill Sans MT"/>
          <w:color w:val="FF6621"/>
          <w:w w:val="105"/>
          <w:sz w:val="17"/>
        </w:rPr>
        <w:t>EIGHTENED </w:t>
      </w:r>
      <w:r>
        <w:rPr>
          <w:rFonts w:ascii="Gill Sans MT"/>
          <w:color w:val="FF6621"/>
          <w:w w:val="105"/>
          <w:sz w:val="22"/>
        </w:rPr>
        <w:t>D</w:t>
      </w:r>
      <w:r>
        <w:rPr>
          <w:rFonts w:ascii="Gill Sans MT"/>
          <w:color w:val="FF6621"/>
          <w:w w:val="105"/>
          <w:sz w:val="17"/>
        </w:rPr>
        <w:t>EMAND</w:t>
      </w:r>
    </w:p>
    <w:p>
      <w:pPr>
        <w:pStyle w:val="BodyText"/>
        <w:spacing w:before="134"/>
        <w:ind w:left="321"/>
      </w:pPr>
      <w:r>
        <w:rPr/>
        <w:t>The Integrity Commissioner views the heightened demand for advice as being a very positive reflection of the current</w:t>
      </w:r>
    </w:p>
    <w:p>
      <w:pPr>
        <w:spacing w:before="59"/>
        <w:ind w:left="2993" w:right="0" w:firstLine="0"/>
        <w:jc w:val="left"/>
        <w:rPr>
          <w:sz w:val="20"/>
        </w:rPr>
      </w:pPr>
      <w:r>
        <w:rPr/>
        <w:br w:type="column"/>
      </w:r>
      <w:r>
        <w:rPr>
          <w:b/>
          <w:sz w:val="20"/>
        </w:rPr>
        <w:t>201 </w:t>
      </w:r>
      <w:r>
        <w:rPr>
          <w:sz w:val="20"/>
        </w:rPr>
        <w:t>Mayors/Councillors</w:t>
      </w:r>
    </w:p>
    <w:p>
      <w:pPr>
        <w:pStyle w:val="BodyText"/>
        <w:spacing w:before="1"/>
        <w:rPr>
          <w:sz w:val="18"/>
        </w:rPr>
      </w:pPr>
    </w:p>
    <w:p>
      <w:pPr>
        <w:spacing w:before="1"/>
        <w:ind w:left="2953" w:right="2027" w:firstLine="0"/>
        <w:jc w:val="center"/>
        <w:rPr>
          <w:sz w:val="20"/>
        </w:rPr>
      </w:pPr>
      <w:r>
        <w:rPr/>
        <w:pict>
          <v:group style="position:absolute;margin-left:36.303001pt;margin-top:-70.648506pt;width:512.0500pt;height:112.05pt;mso-position-horizontal-relative:page;mso-position-vertical-relative:paragraph;z-index:2080" coordorigin="726,-1413" coordsize="10241,2241">
            <v:shape style="position:absolute;left:726;top:-1413;width:10241;height:2241" coordorigin="726,-1413" coordsize="10241,2241" path="m10768,-1413l925,-1413,848,-1397,784,-1355,742,-1291,726,-1214,726,629,742,706,784,770,848,812,925,828,10768,828,10845,812,10909,770,10951,706,10967,629,10967,-1214,10951,-1291,10909,-1355,10845,-1397,10768,-1413xe" filled="true" fillcolor="#abe3d7" stroked="false">
              <v:path arrowok="t"/>
              <v:fill type="solid"/>
            </v:shape>
            <v:shape style="position:absolute;left:726;top:-1413;width:10241;height:2241" type="#_x0000_t202" filled="false" stroked="false">
              <v:textbox inset="0,0,0,0">
                <w:txbxContent>
                  <w:p>
                    <w:pPr>
                      <w:spacing w:before="70"/>
                      <w:ind w:left="135" w:right="0" w:firstLine="0"/>
                      <w:jc w:val="left"/>
                      <w:rPr>
                        <w:rFonts w:ascii="Gill Sans MT"/>
                        <w:sz w:val="17"/>
                      </w:rPr>
                    </w:pPr>
                    <w:r>
                      <w:rPr>
                        <w:rFonts w:ascii="Gill Sans MT"/>
                        <w:color w:val="FF6621"/>
                        <w:w w:val="105"/>
                        <w:sz w:val="22"/>
                      </w:rPr>
                      <w:t>N</w:t>
                    </w:r>
                    <w:r>
                      <w:rPr>
                        <w:rFonts w:ascii="Gill Sans MT"/>
                        <w:color w:val="FF6621"/>
                        <w:w w:val="105"/>
                        <w:sz w:val="17"/>
                      </w:rPr>
                      <w:t>UMBER OF </w:t>
                    </w:r>
                    <w:r>
                      <w:rPr>
                        <w:rFonts w:ascii="Gill Sans MT"/>
                        <w:color w:val="FF6621"/>
                        <w:w w:val="105"/>
                        <w:sz w:val="22"/>
                      </w:rPr>
                      <w:t>R</w:t>
                    </w:r>
                    <w:r>
                      <w:rPr>
                        <w:rFonts w:ascii="Gill Sans MT"/>
                        <w:color w:val="FF6621"/>
                        <w:w w:val="105"/>
                        <w:sz w:val="17"/>
                      </w:rPr>
                      <w:t>EQUESTS</w:t>
                    </w:r>
                  </w:p>
                  <w:p>
                    <w:pPr>
                      <w:spacing w:line="276" w:lineRule="auto" w:before="133"/>
                      <w:ind w:left="135" w:right="159" w:firstLine="0"/>
                      <w:jc w:val="left"/>
                      <w:rPr>
                        <w:sz w:val="20"/>
                      </w:rPr>
                    </w:pPr>
                    <w:r>
                      <w:rPr>
                        <w:sz w:val="20"/>
                      </w:rPr>
                      <w:t>This financial year, the Integrity Commissioner received 335 formal requests for ethics and integrity advice, from which 274 were responded to with formal written advice. Of the remaining 61</w:t>
                    </w:r>
                    <w:r>
                      <w:rPr>
                        <w:spacing w:val="-12"/>
                        <w:sz w:val="20"/>
                      </w:rPr>
                      <w:t> </w:t>
                    </w:r>
                    <w:r>
                      <w:rPr>
                        <w:sz w:val="20"/>
                      </w:rPr>
                      <w:t>requests:</w:t>
                    </w:r>
                  </w:p>
                  <w:p>
                    <w:pPr>
                      <w:numPr>
                        <w:ilvl w:val="0"/>
                        <w:numId w:val="5"/>
                      </w:numPr>
                      <w:tabs>
                        <w:tab w:pos="495" w:val="left" w:leader="none"/>
                        <w:tab w:pos="496" w:val="left" w:leader="none"/>
                      </w:tabs>
                      <w:spacing w:before="57"/>
                      <w:ind w:left="495" w:right="0" w:hanging="360"/>
                      <w:jc w:val="left"/>
                      <w:rPr>
                        <w:sz w:val="20"/>
                      </w:rPr>
                    </w:pPr>
                    <w:r>
                      <w:rPr>
                        <w:sz w:val="20"/>
                      </w:rPr>
                      <w:t>35 requests were dealt with by preliminary oral or written opinion</w:t>
                    </w:r>
                    <w:r>
                      <w:rPr>
                        <w:spacing w:val="-30"/>
                        <w:sz w:val="20"/>
                      </w:rPr>
                      <w:t> </w:t>
                    </w:r>
                    <w:r>
                      <w:rPr>
                        <w:sz w:val="20"/>
                      </w:rPr>
                      <w:t>only</w:t>
                    </w:r>
                  </w:p>
                  <w:p>
                    <w:pPr>
                      <w:numPr>
                        <w:ilvl w:val="0"/>
                        <w:numId w:val="5"/>
                      </w:numPr>
                      <w:tabs>
                        <w:tab w:pos="495" w:val="left" w:leader="none"/>
                        <w:tab w:pos="496" w:val="left" w:leader="none"/>
                      </w:tabs>
                      <w:spacing w:before="33"/>
                      <w:ind w:left="495" w:right="0" w:hanging="360"/>
                      <w:jc w:val="left"/>
                      <w:rPr>
                        <w:sz w:val="20"/>
                      </w:rPr>
                    </w:pPr>
                    <w:r>
                      <w:rPr>
                        <w:sz w:val="20"/>
                      </w:rPr>
                      <w:t>19 requests were referred to the most appropriate agency (e.g. Office of the Independent</w:t>
                    </w:r>
                    <w:r>
                      <w:rPr>
                        <w:spacing w:val="-20"/>
                        <w:sz w:val="20"/>
                      </w:rPr>
                      <w:t> </w:t>
                    </w:r>
                    <w:r>
                      <w:rPr>
                        <w:sz w:val="20"/>
                      </w:rPr>
                      <w:t>Assessor)</w:t>
                    </w:r>
                  </w:p>
                  <w:p>
                    <w:pPr>
                      <w:numPr>
                        <w:ilvl w:val="0"/>
                        <w:numId w:val="5"/>
                      </w:numPr>
                      <w:tabs>
                        <w:tab w:pos="495" w:val="left" w:leader="none"/>
                        <w:tab w:pos="496" w:val="left" w:leader="none"/>
                      </w:tabs>
                      <w:spacing w:before="31"/>
                      <w:ind w:left="495" w:right="0" w:hanging="360"/>
                      <w:jc w:val="left"/>
                      <w:rPr>
                        <w:sz w:val="20"/>
                      </w:rPr>
                    </w:pPr>
                    <w:r>
                      <w:rPr>
                        <w:sz w:val="20"/>
                      </w:rPr>
                      <w:t>4 requests did not include chief executive authority required at the time of the request,</w:t>
                    </w:r>
                    <w:r>
                      <w:rPr>
                        <w:spacing w:val="-19"/>
                        <w:sz w:val="20"/>
                      </w:rPr>
                      <w:t> </w:t>
                    </w:r>
                    <w:r>
                      <w:rPr>
                        <w:sz w:val="20"/>
                      </w:rPr>
                      <w:t>and</w:t>
                    </w:r>
                  </w:p>
                  <w:p>
                    <w:pPr>
                      <w:numPr>
                        <w:ilvl w:val="0"/>
                        <w:numId w:val="5"/>
                      </w:numPr>
                      <w:tabs>
                        <w:tab w:pos="495" w:val="left" w:leader="none"/>
                        <w:tab w:pos="496" w:val="left" w:leader="none"/>
                      </w:tabs>
                      <w:spacing w:before="33"/>
                      <w:ind w:left="495" w:right="0" w:hanging="360"/>
                      <w:jc w:val="left"/>
                      <w:rPr>
                        <w:sz w:val="20"/>
                      </w:rPr>
                    </w:pPr>
                    <w:r>
                      <w:rPr>
                        <w:sz w:val="20"/>
                      </w:rPr>
                      <w:t>3 requests were</w:t>
                    </w:r>
                    <w:r>
                      <w:rPr>
                        <w:spacing w:val="-3"/>
                        <w:sz w:val="20"/>
                      </w:rPr>
                      <w:t> </w:t>
                    </w:r>
                    <w:r>
                      <w:rPr>
                        <w:sz w:val="20"/>
                      </w:rPr>
                      <w:t>withdrawn.</w:t>
                    </w:r>
                  </w:p>
                </w:txbxContent>
              </v:textbox>
              <w10:wrap type="none"/>
            </v:shape>
            <w10:wrap type="none"/>
          </v:group>
        </w:pict>
      </w:r>
      <w:r>
        <w:rPr/>
        <w:pict>
          <v:group style="position:absolute;margin-left:552.140015pt;margin-top:-173.218506pt;width:135.6pt;height:179.3pt;mso-position-horizontal-relative:page;mso-position-vertical-relative:paragraph;z-index:2200" coordorigin="11043,-3464" coordsize="2712,3586">
            <v:line style="position:absolute" from="12192,-1721" to="13744,-3454" stroked="true" strokeweight="1pt" strokecolor="#2cb99d">
              <v:stroke dashstyle="solid"/>
            </v:line>
            <v:line style="position:absolute" from="12174,-1726" to="13744,-2215" stroked="true" strokeweight="1pt" strokecolor="#2cb99d">
              <v:stroke dashstyle="solid"/>
            </v:line>
            <v:line style="position:absolute" from="12167,-1741" to="13744,-1750" stroked="true" strokeweight="1pt" strokecolor="#2cb99d">
              <v:stroke dashstyle="solid"/>
            </v:line>
            <v:line style="position:absolute" from="12164,-1692" to="13744,-1284" stroked="true" strokeweight="1pt" strokecolor="#2cb99d">
              <v:stroke dashstyle="solid"/>
            </v:line>
            <v:line style="position:absolute" from="12153,-1711" to="13744,-819" stroked="true" strokeweight="1pt" strokecolor="#2cb99d">
              <v:stroke dashstyle="solid"/>
            </v:line>
            <v:line style="position:absolute" from="12176,-1717" to="13744,-354" stroked="true" strokeweight="1pt" strokecolor="#2cb99d">
              <v:stroke dashstyle="solid"/>
            </v:line>
            <v:line style="position:absolute" from="12163,-1726" to="13725,111" stroked="true" strokeweight="1pt" strokecolor="#2cb99d">
              <v:stroke dashstyle="solid"/>
            </v:line>
            <v:shape style="position:absolute;left:11042;top:-2839;width:2304;height:2304" coordorigin="11043,-2838" coordsize="2304,2304" path="m12195,-2838l12119,-2836,12045,-2828,11972,-2817,11900,-2800,11831,-2779,11763,-2755,11697,-2726,11634,-2693,11573,-2656,11514,-2616,11459,-2572,11406,-2525,11356,-2475,11309,-2422,11265,-2367,11225,-2308,11188,-2247,11155,-2184,11126,-2118,11102,-2050,11081,-1981,11064,-1909,11053,-1836,11045,-1762,11043,-1686,11045,-1610,11053,-1536,11064,-1463,11081,-1392,11102,-1322,11126,-1254,11155,-1189,11188,-1125,11225,-1064,11265,-1006,11309,-950,11356,-897,11406,-847,11459,-800,11514,-756,11573,-716,11634,-680,11697,-647,11763,-618,11831,-593,11900,-572,11972,-556,12045,-544,12119,-537,12195,-534,12271,-537,12345,-544,12418,-556,12489,-572,12559,-593,12627,-618,12692,-647,12756,-680,12817,-716,12875,-756,12931,-800,12984,-847,13034,-897,13081,-950,13125,-1006,13165,-1064,13201,-1125,13234,-1189,13263,-1254,13288,-1322,13309,-1392,13325,-1463,13337,-1536,13344,-1610,13347,-1686,13344,-1762,13337,-1836,13325,-1909,13309,-1981,13288,-2050,13263,-2118,13234,-2184,13201,-2247,13165,-2308,13125,-2367,13081,-2422,13034,-2475,12984,-2525,12931,-2572,12875,-2616,12817,-2656,12756,-2693,12692,-2726,12627,-2755,12559,-2779,12489,-2800,12418,-2817,12345,-2828,12271,-2836,12195,-2838xe" filled="true" fillcolor="#2cb99d" stroked="false">
              <v:path arrowok="t"/>
              <v:fill type="solid"/>
            </v:shape>
            <v:shape style="position:absolute;left:11375;top:-2591;width:1460;height:1114" type="#_x0000_t202" filled="false" stroked="false">
              <v:textbox inset="0,0,0,0">
                <w:txbxContent>
                  <w:p>
                    <w:pPr>
                      <w:spacing w:before="0"/>
                      <w:ind w:left="0" w:right="0" w:firstLine="0"/>
                      <w:jc w:val="left"/>
                      <w:rPr>
                        <w:rFonts w:ascii="Gill Sans MT"/>
                        <w:sz w:val="96"/>
                      </w:rPr>
                    </w:pPr>
                    <w:r>
                      <w:rPr>
                        <w:rFonts w:ascii="Gill Sans MT"/>
                        <w:color w:val="FFFFFF"/>
                        <w:sz w:val="96"/>
                      </w:rPr>
                      <w:t>335</w:t>
                    </w:r>
                  </w:p>
                </w:txbxContent>
              </v:textbox>
              <w10:wrap type="none"/>
            </v:shape>
            <v:shape style="position:absolute;left:11528;top:-1598;width:1614;height:687" type="#_x0000_t202" filled="false" stroked="false">
              <v:textbox inset="0,0,0,0">
                <w:txbxContent>
                  <w:p>
                    <w:pPr>
                      <w:spacing w:line="203" w:lineRule="exact" w:before="0"/>
                      <w:ind w:left="0" w:right="0" w:firstLine="0"/>
                      <w:jc w:val="left"/>
                      <w:rPr>
                        <w:sz w:val="20"/>
                      </w:rPr>
                    </w:pPr>
                    <w:r>
                      <w:rPr>
                        <w:color w:val="FFFFFF"/>
                        <w:sz w:val="20"/>
                      </w:rPr>
                      <w:t>Formal requests for</w:t>
                    </w:r>
                  </w:p>
                  <w:p>
                    <w:pPr>
                      <w:spacing w:before="1"/>
                      <w:ind w:left="0" w:right="0" w:firstLine="0"/>
                      <w:jc w:val="left"/>
                      <w:rPr>
                        <w:sz w:val="20"/>
                      </w:rPr>
                    </w:pPr>
                    <w:r>
                      <w:rPr>
                        <w:color w:val="FFFFFF"/>
                        <w:sz w:val="20"/>
                      </w:rPr>
                      <w:t>ethics and integrity advice</w:t>
                    </w:r>
                  </w:p>
                </w:txbxContent>
              </v:textbox>
              <w10:wrap type="none"/>
            </v:shape>
            <w10:wrap type="none"/>
          </v:group>
        </w:pict>
      </w:r>
      <w:r>
        <w:rPr/>
        <w:pict>
          <v:rect style="position:absolute;margin-left:693.210022pt;margin-top:-26.710506pt;width:113.76pt;height:16.932pt;mso-position-horizontal-relative:page;mso-position-vertical-relative:paragraph;z-index:-33616" filled="false" stroked="true" strokeweight="1pt" strokecolor="#2cb99d">
            <v:stroke dashstyle="solid"/>
            <w10:wrap type="none"/>
          </v:rect>
        </w:pict>
      </w:r>
      <w:r>
        <w:rPr/>
        <w:pict>
          <v:rect style="position:absolute;margin-left:692.25pt;margin-top:-3.450506pt;width:114.73pt;height:16.932pt;mso-position-horizontal-relative:page;mso-position-vertical-relative:paragraph;z-index:-33592" filled="false" stroked="true" strokeweight="1.0pt" strokecolor="#2cb99d">
            <v:stroke dashstyle="solid"/>
            <w10:wrap type="none"/>
          </v:rect>
        </w:pict>
      </w:r>
      <w:r>
        <w:rPr>
          <w:b/>
          <w:sz w:val="20"/>
        </w:rPr>
        <w:t>1 </w:t>
      </w:r>
      <w:r>
        <w:rPr>
          <w:sz w:val="20"/>
        </w:rPr>
        <w:t>Other</w:t>
      </w:r>
    </w:p>
    <w:p>
      <w:pPr>
        <w:pStyle w:val="BodyText"/>
        <w:spacing w:before="11"/>
        <w:rPr>
          <w:sz w:val="18"/>
        </w:rPr>
      </w:pPr>
    </w:p>
    <w:p>
      <w:pPr>
        <w:spacing w:before="0"/>
        <w:ind w:left="321" w:right="0" w:firstLine="0"/>
        <w:jc w:val="left"/>
        <w:rPr>
          <w:rFonts w:ascii="Gill Sans MT"/>
          <w:sz w:val="22"/>
        </w:rPr>
      </w:pPr>
      <w:r>
        <w:rPr/>
        <w:pict>
          <v:group style="position:absolute;margin-left:575.369995pt;margin-top:19.271191pt;width:39.6pt;height:39.6pt;mso-position-horizontal-relative:page;mso-position-vertical-relative:paragraph;z-index:2392" coordorigin="11507,385" coordsize="792,792">
            <v:shape style="position:absolute;left:11507;top:385;width:792;height:792" coordorigin="11507,385" coordsize="792,792" path="m11903,385l11832,392,11765,410,11703,439,11648,479,11601,526,11561,582,11532,643,11514,710,11507,781,11514,853,11532,920,11561,981,11601,1037,11648,1084,11703,1123,11765,1153,11832,1171,11903,1177,11975,1171,12042,1153,12103,1123,12159,1084,12206,1037,12245,981,12275,920,12293,853,12299,781,12293,710,12275,643,12245,582,12206,526,12159,479,12103,439,12042,410,11975,392,11903,385xe" filled="true" fillcolor="#155d4f" stroked="false">
              <v:path arrowok="t"/>
              <v:fill type="solid"/>
            </v:shape>
            <v:shape style="position:absolute;left:11507;top:385;width:792;height:792" type="#_x0000_t202" filled="false" stroked="false">
              <v:textbox inset="0,0,0,0">
                <w:txbxContent>
                  <w:p>
                    <w:pPr>
                      <w:spacing w:line="240" w:lineRule="auto" w:before="11"/>
                      <w:rPr>
                        <w:sz w:val="20"/>
                      </w:rPr>
                    </w:pPr>
                  </w:p>
                  <w:p>
                    <w:pPr>
                      <w:spacing w:before="0"/>
                      <w:ind w:left="194" w:right="0" w:firstLine="0"/>
                      <w:jc w:val="left"/>
                      <w:rPr>
                        <w:rFonts w:ascii="Calibri Light"/>
                        <w:b w:val="0"/>
                        <w:sz w:val="24"/>
                      </w:rPr>
                    </w:pPr>
                    <w:r>
                      <w:rPr>
                        <w:rFonts w:ascii="Calibri Light"/>
                        <w:b w:val="0"/>
                        <w:color w:val="FFFFFF"/>
                        <w:sz w:val="24"/>
                      </w:rPr>
                      <w:t>38%</w:t>
                    </w:r>
                  </w:p>
                </w:txbxContent>
              </v:textbox>
              <w10:wrap type="none"/>
            </v:shape>
            <w10:wrap type="none"/>
          </v:group>
        </w:pict>
      </w:r>
      <w:r>
        <w:rPr/>
        <w:pict>
          <v:group style="position:absolute;margin-left:658.700012pt;margin-top:18.84119pt;width:39.6pt;height:39.6pt;mso-position-horizontal-relative:page;mso-position-vertical-relative:paragraph;z-index:2440" coordorigin="13174,377" coordsize="792,792">
            <v:shape style="position:absolute;left:13174;top:376;width:792;height:792" coordorigin="13174,377" coordsize="792,792" path="m13570,377l13499,383,13432,402,13370,431,13315,470,13267,518,13228,573,13199,635,13180,702,13174,773,13180,844,13199,911,13228,973,13267,1028,13315,1076,13370,1115,13432,1144,13499,1162,13570,1169,13641,1162,13708,1144,13770,1115,13825,1076,13873,1028,13912,973,13941,911,13960,844,13966,773,13960,702,13941,635,13912,573,13873,518,13825,470,13770,431,13708,402,13641,383,13570,377xe" filled="true" fillcolor="#208b76" stroked="false">
              <v:path arrowok="t"/>
              <v:fill type="solid"/>
            </v:shape>
            <v:shape style="position:absolute;left:13174;top:376;width:792;height:792" type="#_x0000_t202" filled="false" stroked="false">
              <v:textbox inset="0,0,0,0">
                <w:txbxContent>
                  <w:p>
                    <w:pPr>
                      <w:spacing w:line="240" w:lineRule="auto" w:before="10"/>
                      <w:rPr>
                        <w:sz w:val="20"/>
                      </w:rPr>
                    </w:pPr>
                  </w:p>
                  <w:p>
                    <w:pPr>
                      <w:spacing w:before="0"/>
                      <w:ind w:left="193" w:right="0" w:firstLine="0"/>
                      <w:jc w:val="left"/>
                      <w:rPr>
                        <w:rFonts w:ascii="Calibri Light"/>
                        <w:b w:val="0"/>
                        <w:sz w:val="24"/>
                      </w:rPr>
                    </w:pPr>
                    <w:r>
                      <w:rPr>
                        <w:rFonts w:ascii="Calibri Light"/>
                        <w:b w:val="0"/>
                        <w:color w:val="FFFFFF"/>
                        <w:sz w:val="24"/>
                      </w:rPr>
                      <w:t>19%</w:t>
                    </w:r>
                  </w:p>
                </w:txbxContent>
              </v:textbox>
              <w10:wrap type="none"/>
            </v:shape>
            <w10:wrap type="none"/>
          </v:group>
        </w:pict>
      </w:r>
      <w:r>
        <w:rPr/>
        <w:pict>
          <v:group style="position:absolute;margin-left:741.609985pt;margin-top:19.271191pt;width:39.6pt;height:39.6pt;mso-position-horizontal-relative:page;mso-position-vertical-relative:paragraph;z-index:2488" coordorigin="14832,385" coordsize="792,792">
            <v:shape style="position:absolute;left:14832;top:385;width:792;height:792" coordorigin="14832,385" coordsize="792,792" path="m15228,385l15157,392,15090,410,15028,439,14973,479,14925,526,14886,582,14857,643,14839,710,14832,781,14839,853,14857,920,14886,981,14925,1037,14973,1084,15028,1123,15090,1153,15157,1171,15228,1177,15299,1171,15366,1153,15428,1123,15483,1084,15531,1037,15570,981,15599,920,15618,853,15624,781,15618,710,15599,643,15570,582,15531,526,15483,479,15428,439,15366,410,15299,392,15228,385xe" filled="true" fillcolor="#2cb99d" stroked="false">
              <v:path arrowok="t"/>
              <v:fill type="solid"/>
            </v:shape>
            <v:shape style="position:absolute;left:14832;top:385;width:792;height:792" type="#_x0000_t202" filled="false" stroked="false">
              <v:textbox inset="0,0,0,0">
                <w:txbxContent>
                  <w:p>
                    <w:pPr>
                      <w:spacing w:line="240" w:lineRule="auto" w:before="11"/>
                      <w:rPr>
                        <w:sz w:val="20"/>
                      </w:rPr>
                    </w:pPr>
                  </w:p>
                  <w:p>
                    <w:pPr>
                      <w:spacing w:before="0"/>
                      <w:ind w:left="193" w:right="0" w:firstLine="0"/>
                      <w:jc w:val="left"/>
                      <w:rPr>
                        <w:rFonts w:ascii="Calibri Light"/>
                        <w:b w:val="0"/>
                        <w:sz w:val="24"/>
                      </w:rPr>
                    </w:pPr>
                    <w:r>
                      <w:rPr>
                        <w:rFonts w:ascii="Calibri Light"/>
                        <w:b w:val="0"/>
                        <w:color w:val="FFFFFF"/>
                        <w:sz w:val="24"/>
                      </w:rPr>
                      <w:t>16%</w:t>
                    </w:r>
                  </w:p>
                </w:txbxContent>
              </v:textbox>
              <w10:wrap type="none"/>
            </v:shape>
            <w10:wrap type="none"/>
          </v:group>
        </w:pict>
      </w:r>
      <w:r>
        <w:rPr>
          <w:rFonts w:ascii="Gill Sans MT"/>
          <w:color w:val="FF6621"/>
          <w:w w:val="105"/>
          <w:sz w:val="22"/>
        </w:rPr>
        <w:t>R</w:t>
      </w:r>
      <w:r>
        <w:rPr>
          <w:rFonts w:ascii="Gill Sans MT"/>
          <w:color w:val="FF6621"/>
          <w:w w:val="105"/>
          <w:sz w:val="17"/>
        </w:rPr>
        <w:t>ESPONSE </w:t>
      </w:r>
      <w:r>
        <w:rPr>
          <w:rFonts w:ascii="Gill Sans MT"/>
          <w:color w:val="FF6621"/>
          <w:w w:val="105"/>
          <w:sz w:val="22"/>
        </w:rPr>
        <w:t>T</w:t>
      </w:r>
      <w:r>
        <w:rPr>
          <w:rFonts w:ascii="Gill Sans MT"/>
          <w:color w:val="FF6621"/>
          <w:w w:val="105"/>
          <w:sz w:val="17"/>
        </w:rPr>
        <w:t>IMES </w:t>
      </w:r>
      <w:r>
        <w:rPr>
          <w:rFonts w:ascii="Gill Sans MT"/>
          <w:color w:val="FF6621"/>
          <w:w w:val="105"/>
          <w:sz w:val="22"/>
        </w:rPr>
        <w:t>(</w:t>
      </w:r>
      <w:r>
        <w:rPr>
          <w:rFonts w:ascii="Gill Sans MT"/>
          <w:color w:val="FF6621"/>
          <w:w w:val="105"/>
          <w:sz w:val="17"/>
        </w:rPr>
        <w:t>BUSINESS DAYS</w:t>
      </w:r>
      <w:r>
        <w:rPr>
          <w:rFonts w:ascii="Gill Sans MT"/>
          <w:color w:val="FF6621"/>
          <w:w w:val="105"/>
          <w:sz w:val="22"/>
        </w:rPr>
        <w:t>)</w:t>
      </w:r>
    </w:p>
    <w:p>
      <w:pPr>
        <w:pStyle w:val="BodyText"/>
        <w:rPr>
          <w:rFonts w:ascii="Gill Sans MT"/>
        </w:rPr>
      </w:pPr>
    </w:p>
    <w:p>
      <w:pPr>
        <w:pStyle w:val="BodyText"/>
        <w:spacing w:before="8"/>
        <w:rPr>
          <w:rFonts w:ascii="Gill Sans MT"/>
          <w:sz w:val="16"/>
        </w:rPr>
      </w:pPr>
      <w:r>
        <w:rPr/>
        <w:drawing>
          <wp:anchor distT="0" distB="0" distL="0" distR="0" allowOverlap="1" layoutInCell="1" locked="0" behindDoc="0" simplePos="0" relativeHeight="41">
            <wp:simplePos x="0" y="0"/>
            <wp:positionH relativeFrom="page">
              <wp:posOffset>8000745</wp:posOffset>
            </wp:positionH>
            <wp:positionV relativeFrom="paragraph">
              <wp:posOffset>148231</wp:posOffset>
            </wp:positionV>
            <wp:extent cx="178267" cy="123825"/>
            <wp:effectExtent l="0" t="0" r="0" b="0"/>
            <wp:wrapTopAndBottom/>
            <wp:docPr id="27" name="image28.png" descr=""/>
            <wp:cNvGraphicFramePr>
              <a:graphicFrameLocks noChangeAspect="1"/>
            </wp:cNvGraphicFramePr>
            <a:graphic>
              <a:graphicData uri="http://schemas.openxmlformats.org/drawingml/2006/picture">
                <pic:pic>
                  <pic:nvPicPr>
                    <pic:cNvPr id="28" name="image28.png"/>
                    <pic:cNvPicPr/>
                  </pic:nvPicPr>
                  <pic:blipFill>
                    <a:blip r:embed="rId33" cstate="print"/>
                    <a:stretch>
                      <a:fillRect/>
                    </a:stretch>
                  </pic:blipFill>
                  <pic:spPr>
                    <a:xfrm>
                      <a:off x="0" y="0"/>
                      <a:ext cx="178267" cy="123825"/>
                    </a:xfrm>
                    <a:prstGeom prst="rect">
                      <a:avLst/>
                    </a:prstGeom>
                  </pic:spPr>
                </pic:pic>
              </a:graphicData>
            </a:graphic>
          </wp:anchor>
        </w:drawing>
      </w:r>
      <w:r>
        <w:rPr/>
        <w:drawing>
          <wp:anchor distT="0" distB="0" distL="0" distR="0" allowOverlap="1" layoutInCell="1" locked="0" behindDoc="0" simplePos="0" relativeHeight="42">
            <wp:simplePos x="0" y="0"/>
            <wp:positionH relativeFrom="page">
              <wp:posOffset>9056369</wp:posOffset>
            </wp:positionH>
            <wp:positionV relativeFrom="paragraph">
              <wp:posOffset>148231</wp:posOffset>
            </wp:positionV>
            <wp:extent cx="178394" cy="123825"/>
            <wp:effectExtent l="0" t="0" r="0" b="0"/>
            <wp:wrapTopAndBottom/>
            <wp:docPr id="29" name="image29.png" descr=""/>
            <wp:cNvGraphicFramePr>
              <a:graphicFrameLocks noChangeAspect="1"/>
            </wp:cNvGraphicFramePr>
            <a:graphic>
              <a:graphicData uri="http://schemas.openxmlformats.org/drawingml/2006/picture">
                <pic:pic>
                  <pic:nvPicPr>
                    <pic:cNvPr id="30" name="image29.png"/>
                    <pic:cNvPicPr/>
                  </pic:nvPicPr>
                  <pic:blipFill>
                    <a:blip r:embed="rId34" cstate="print"/>
                    <a:stretch>
                      <a:fillRect/>
                    </a:stretch>
                  </pic:blipFill>
                  <pic:spPr>
                    <a:xfrm>
                      <a:off x="0" y="0"/>
                      <a:ext cx="178394" cy="123825"/>
                    </a:xfrm>
                    <a:prstGeom prst="rect">
                      <a:avLst/>
                    </a:prstGeom>
                  </pic:spPr>
                </pic:pic>
              </a:graphicData>
            </a:graphic>
          </wp:anchor>
        </w:drawing>
      </w:r>
    </w:p>
    <w:p>
      <w:pPr>
        <w:spacing w:after="0"/>
        <w:rPr>
          <w:rFonts w:ascii="Gill Sans MT"/>
          <w:sz w:val="16"/>
        </w:rPr>
        <w:sectPr>
          <w:type w:val="continuous"/>
          <w:pgSz w:w="16840" w:h="11910" w:orient="landscape"/>
          <w:pgMar w:top="960" w:bottom="280" w:left="540" w:right="260"/>
          <w:cols w:num="2" w:equalWidth="0">
            <w:col w:w="9882" w:space="517"/>
            <w:col w:w="5641"/>
          </w:cols>
        </w:sectPr>
      </w:pPr>
    </w:p>
    <w:p>
      <w:pPr>
        <w:pStyle w:val="BodyText"/>
        <w:spacing w:line="276" w:lineRule="auto" w:before="36"/>
        <w:ind w:left="321" w:right="38"/>
        <w:jc w:val="both"/>
      </w:pPr>
      <w:r>
        <w:rPr/>
        <w:t>ethical climate and expects that the number of advice requests per annum will grow again in the next financial year. The significant</w:t>
      </w:r>
      <w:r>
        <w:rPr>
          <w:spacing w:val="-3"/>
        </w:rPr>
        <w:t> </w:t>
      </w:r>
      <w:r>
        <w:rPr/>
        <w:t>increase</w:t>
      </w:r>
      <w:r>
        <w:rPr>
          <w:spacing w:val="-4"/>
        </w:rPr>
        <w:t> </w:t>
      </w:r>
      <w:r>
        <w:rPr/>
        <w:t>in 2018–2019</w:t>
      </w:r>
      <w:r>
        <w:rPr>
          <w:spacing w:val="-4"/>
        </w:rPr>
        <w:t> </w:t>
      </w:r>
      <w:r>
        <w:rPr/>
        <w:t>is</w:t>
      </w:r>
      <w:r>
        <w:rPr>
          <w:spacing w:val="-5"/>
        </w:rPr>
        <w:t> </w:t>
      </w:r>
      <w:r>
        <w:rPr/>
        <w:t>primarily</w:t>
      </w:r>
      <w:r>
        <w:rPr>
          <w:spacing w:val="-1"/>
        </w:rPr>
        <w:t> </w:t>
      </w:r>
      <w:r>
        <w:rPr/>
        <w:t>attributable</w:t>
      </w:r>
      <w:r>
        <w:rPr>
          <w:spacing w:val="-5"/>
        </w:rPr>
        <w:t> </w:t>
      </w:r>
      <w:r>
        <w:rPr/>
        <w:t>to</w:t>
      </w:r>
      <w:r>
        <w:rPr>
          <w:spacing w:val="-2"/>
        </w:rPr>
        <w:t> </w:t>
      </w:r>
      <w:r>
        <w:rPr/>
        <w:t>the</w:t>
      </w:r>
      <w:r>
        <w:rPr>
          <w:spacing w:val="-4"/>
        </w:rPr>
        <w:t> </w:t>
      </w:r>
      <w:r>
        <w:rPr/>
        <w:t>recent</w:t>
      </w:r>
      <w:r>
        <w:rPr>
          <w:spacing w:val="-3"/>
        </w:rPr>
        <w:t> </w:t>
      </w:r>
      <w:r>
        <w:rPr/>
        <w:t>ministerial</w:t>
      </w:r>
      <w:r>
        <w:rPr>
          <w:spacing w:val="-3"/>
        </w:rPr>
        <w:t> </w:t>
      </w:r>
      <w:r>
        <w:rPr/>
        <w:t>nomination</w:t>
      </w:r>
      <w:r>
        <w:rPr>
          <w:spacing w:val="-3"/>
        </w:rPr>
        <w:t> </w:t>
      </w:r>
      <w:r>
        <w:rPr/>
        <w:t>of</w:t>
      </w:r>
      <w:r>
        <w:rPr>
          <w:spacing w:val="-4"/>
        </w:rPr>
        <w:t> </w:t>
      </w:r>
      <w:r>
        <w:rPr/>
        <w:t>Mayors</w:t>
      </w:r>
      <w:r>
        <w:rPr>
          <w:spacing w:val="-5"/>
        </w:rPr>
        <w:t> </w:t>
      </w:r>
      <w:r>
        <w:rPr/>
        <w:t>and</w:t>
      </w:r>
      <w:r>
        <w:rPr>
          <w:spacing w:val="-2"/>
        </w:rPr>
        <w:t> </w:t>
      </w:r>
      <w:r>
        <w:rPr/>
        <w:t>Councillors as designated persons. In 2019–2020, a further increase is expected as the </w:t>
      </w:r>
      <w:r>
        <w:rPr>
          <w:i/>
        </w:rPr>
        <w:t>Integrity Act 2009 </w:t>
      </w:r>
      <w:r>
        <w:rPr/>
        <w:t>now classifies</w:t>
      </w:r>
      <w:r>
        <w:rPr>
          <w:spacing w:val="-25"/>
        </w:rPr>
        <w:t> </w:t>
      </w:r>
      <w:r>
        <w:rPr/>
        <w:t>former</w:t>
      </w:r>
    </w:p>
    <w:p>
      <w:pPr>
        <w:pStyle w:val="BodyText"/>
        <w:spacing w:line="276" w:lineRule="auto"/>
        <w:ind w:left="321" w:right="93"/>
        <w:jc w:val="both"/>
      </w:pPr>
      <w:r>
        <w:rPr/>
        <w:pict>
          <v:group style="position:absolute;margin-left:36.651001pt;margin-top:31.471483pt;width:512.0500pt;height:96.25pt;mso-position-horizontal-relative:page;mso-position-vertical-relative:paragraph;z-index:2128" coordorigin="733,629" coordsize="10241,1925">
            <v:shape style="position:absolute;left:733;top:629;width:10241;height:1925" coordorigin="733,629" coordsize="10241,1925" path="m10803,629l904,629,838,643,783,680,746,734,733,801,733,2383,746,2450,783,2504,838,2541,904,2554,10803,2554,10869,2541,10924,2504,10961,2450,10974,2383,10974,801,10961,734,10924,680,10869,643,10803,629xe" filled="true" fillcolor="#abe3d7" stroked="false">
              <v:path arrowok="t"/>
              <v:fill type="solid"/>
            </v:shape>
            <v:shape style="position:absolute;left:733;top:629;width:10241;height:1925" type="#_x0000_t202" filled="false" stroked="false">
              <v:textbox inset="0,0,0,0">
                <w:txbxContent>
                  <w:p>
                    <w:pPr>
                      <w:spacing w:before="76"/>
                      <w:ind w:left="128" w:right="0" w:firstLine="0"/>
                      <w:jc w:val="left"/>
                      <w:rPr>
                        <w:rFonts w:ascii="Gill Sans MT"/>
                        <w:sz w:val="17"/>
                      </w:rPr>
                    </w:pPr>
                    <w:r>
                      <w:rPr>
                        <w:rFonts w:ascii="Gill Sans MT"/>
                        <w:color w:val="FF6621"/>
                        <w:w w:val="105"/>
                        <w:sz w:val="22"/>
                      </w:rPr>
                      <w:t>R</w:t>
                    </w:r>
                    <w:r>
                      <w:rPr>
                        <w:rFonts w:ascii="Gill Sans MT"/>
                        <w:color w:val="FF6621"/>
                        <w:w w:val="105"/>
                        <w:sz w:val="17"/>
                      </w:rPr>
                      <w:t>ESPONSE </w:t>
                    </w:r>
                    <w:r>
                      <w:rPr>
                        <w:rFonts w:ascii="Gill Sans MT"/>
                        <w:color w:val="FF6621"/>
                        <w:w w:val="105"/>
                        <w:sz w:val="22"/>
                      </w:rPr>
                      <w:t>T</w:t>
                    </w:r>
                    <w:r>
                      <w:rPr>
                        <w:rFonts w:ascii="Gill Sans MT"/>
                        <w:color w:val="FF6621"/>
                        <w:w w:val="105"/>
                        <w:sz w:val="17"/>
                      </w:rPr>
                      <w:t>IMES</w:t>
                    </w:r>
                  </w:p>
                  <w:p>
                    <w:pPr>
                      <w:spacing w:line="276" w:lineRule="auto" w:before="137"/>
                      <w:ind w:left="128" w:right="159" w:firstLine="0"/>
                      <w:jc w:val="left"/>
                      <w:rPr>
                        <w:sz w:val="20"/>
                      </w:rPr>
                    </w:pPr>
                    <w:r>
                      <w:rPr>
                        <w:sz w:val="20"/>
                      </w:rPr>
                      <w:t>Despite efficiency measures introduced, the record number of advice requests received for the second consecutive year has resulted in a slight decline in response times overall. The Integrity Commissioner provided formal written advice</w:t>
                    </w:r>
                  </w:p>
                  <w:p>
                    <w:pPr>
                      <w:spacing w:line="276" w:lineRule="auto" w:before="0"/>
                      <w:ind w:left="128" w:right="0" w:firstLine="0"/>
                      <w:jc w:val="left"/>
                      <w:rPr>
                        <w:sz w:val="20"/>
                      </w:rPr>
                    </w:pPr>
                    <w:r>
                      <w:rPr>
                        <w:sz w:val="20"/>
                      </w:rPr>
                      <w:t>within 1 business day for 38% of cases and within 3 business days for a further 19% of cases. The principal reasons for exceeding 3 business days were complexity of issues or further information being required from the advisee. Given the predicted future demands, pressures on response times are anticipated to continue.</w:t>
                    </w:r>
                  </w:p>
                </w:txbxContent>
              </v:textbox>
              <w10:wrap type="none"/>
            </v:shape>
            <w10:wrap type="none"/>
          </v:group>
        </w:pict>
      </w:r>
      <w:r>
        <w:rPr/>
        <w:t>designated</w:t>
      </w:r>
      <w:r>
        <w:rPr>
          <w:spacing w:val="-3"/>
        </w:rPr>
        <w:t> </w:t>
      </w:r>
      <w:r>
        <w:rPr/>
        <w:t>persons</w:t>
      </w:r>
      <w:r>
        <w:rPr>
          <w:spacing w:val="-4"/>
        </w:rPr>
        <w:t> </w:t>
      </w:r>
      <w:r>
        <w:rPr/>
        <w:t>as</w:t>
      </w:r>
      <w:r>
        <w:rPr>
          <w:spacing w:val="-5"/>
        </w:rPr>
        <w:t> </w:t>
      </w:r>
      <w:r>
        <w:rPr/>
        <w:t>able</w:t>
      </w:r>
      <w:r>
        <w:rPr>
          <w:spacing w:val="-4"/>
        </w:rPr>
        <w:t> </w:t>
      </w:r>
      <w:r>
        <w:rPr/>
        <w:t>to</w:t>
      </w:r>
      <w:r>
        <w:rPr>
          <w:spacing w:val="-2"/>
        </w:rPr>
        <w:t> </w:t>
      </w:r>
      <w:r>
        <w:rPr/>
        <w:t>seek</w:t>
      </w:r>
      <w:r>
        <w:rPr>
          <w:spacing w:val="-3"/>
        </w:rPr>
        <w:t> </w:t>
      </w:r>
      <w:r>
        <w:rPr/>
        <w:t>advice</w:t>
      </w:r>
      <w:r>
        <w:rPr>
          <w:spacing w:val="-4"/>
        </w:rPr>
        <w:t> </w:t>
      </w:r>
      <w:r>
        <w:rPr/>
        <w:t>and</w:t>
      </w:r>
      <w:r>
        <w:rPr>
          <w:spacing w:val="-3"/>
        </w:rPr>
        <w:t> </w:t>
      </w:r>
      <w:r>
        <w:rPr/>
        <w:t>senior</w:t>
      </w:r>
      <w:r>
        <w:rPr>
          <w:spacing w:val="-2"/>
        </w:rPr>
        <w:t> </w:t>
      </w:r>
      <w:r>
        <w:rPr/>
        <w:t>executives</w:t>
      </w:r>
      <w:r>
        <w:rPr>
          <w:spacing w:val="-5"/>
        </w:rPr>
        <w:t> </w:t>
      </w:r>
      <w:r>
        <w:rPr/>
        <w:t>or</w:t>
      </w:r>
      <w:r>
        <w:rPr>
          <w:spacing w:val="-2"/>
        </w:rPr>
        <w:t> </w:t>
      </w:r>
      <w:r>
        <w:rPr/>
        <w:t>officers</w:t>
      </w:r>
      <w:r>
        <w:rPr>
          <w:spacing w:val="-4"/>
        </w:rPr>
        <w:t> </w:t>
      </w:r>
      <w:r>
        <w:rPr/>
        <w:t>no</w:t>
      </w:r>
      <w:r>
        <w:rPr>
          <w:spacing w:val="-3"/>
        </w:rPr>
        <w:t> </w:t>
      </w:r>
      <w:r>
        <w:rPr/>
        <w:t>longer</w:t>
      </w:r>
      <w:r>
        <w:rPr>
          <w:spacing w:val="-2"/>
        </w:rPr>
        <w:t> </w:t>
      </w:r>
      <w:r>
        <w:rPr/>
        <w:t>require</w:t>
      </w:r>
      <w:r>
        <w:rPr>
          <w:spacing w:val="-5"/>
        </w:rPr>
        <w:t> </w:t>
      </w:r>
      <w:r>
        <w:rPr/>
        <w:t>chief</w:t>
      </w:r>
      <w:r>
        <w:rPr>
          <w:spacing w:val="-1"/>
        </w:rPr>
        <w:t> </w:t>
      </w:r>
      <w:r>
        <w:rPr/>
        <w:t>executive</w:t>
      </w:r>
      <w:r>
        <w:rPr>
          <w:spacing w:val="-4"/>
        </w:rPr>
        <w:t> </w:t>
      </w:r>
      <w:r>
        <w:rPr/>
        <w:t>approval</w:t>
      </w:r>
      <w:r>
        <w:rPr>
          <w:spacing w:val="-2"/>
        </w:rPr>
        <w:t> </w:t>
      </w:r>
      <w:r>
        <w:rPr/>
        <w:t>to seek advice. This brings the total number of designated persons to over 5000</w:t>
      </w:r>
      <w:r>
        <w:rPr>
          <w:spacing w:val="-14"/>
        </w:rPr>
        <w:t> </w:t>
      </w:r>
      <w:r>
        <w:rPr/>
        <w:t>people.</w:t>
      </w:r>
    </w:p>
    <w:p>
      <w:pPr>
        <w:pStyle w:val="BodyText"/>
        <w:spacing w:before="108"/>
        <w:ind w:left="321"/>
      </w:pPr>
      <w:r>
        <w:rPr/>
        <w:br w:type="column"/>
      </w:r>
      <w:r>
        <w:rPr/>
        <w:t>&lt; 1 </w:t>
      </w:r>
      <w:r>
        <w:rPr>
          <w:spacing w:val="-6"/>
        </w:rPr>
        <w:t>day</w:t>
      </w:r>
    </w:p>
    <w:p>
      <w:pPr>
        <w:pStyle w:val="BodyText"/>
      </w:pPr>
      <w:r>
        <w:rPr/>
        <w:br w:type="column"/>
      </w:r>
      <w:r>
        <w:rPr/>
      </w:r>
    </w:p>
    <w:p>
      <w:pPr>
        <w:pStyle w:val="BodyText"/>
      </w:pPr>
    </w:p>
    <w:p>
      <w:pPr>
        <w:pStyle w:val="BodyText"/>
      </w:pPr>
    </w:p>
    <w:p>
      <w:pPr>
        <w:pStyle w:val="BodyText"/>
      </w:pPr>
    </w:p>
    <w:p>
      <w:pPr>
        <w:pStyle w:val="BodyText"/>
        <w:spacing w:before="11"/>
        <w:rPr>
          <w:sz w:val="19"/>
        </w:rPr>
      </w:pPr>
    </w:p>
    <w:p>
      <w:pPr>
        <w:pStyle w:val="BodyText"/>
        <w:ind w:left="141"/>
      </w:pPr>
      <w:r>
        <w:rPr/>
        <w:t>6–9 days</w:t>
      </w:r>
    </w:p>
    <w:p>
      <w:pPr>
        <w:pStyle w:val="BodyText"/>
        <w:spacing w:before="108"/>
        <w:ind w:left="74"/>
      </w:pPr>
      <w:r>
        <w:rPr/>
        <w:br w:type="column"/>
      </w:r>
      <w:r>
        <w:rPr/>
        <w:t>2–3 days</w:t>
      </w:r>
    </w:p>
    <w:p>
      <w:pPr>
        <w:pStyle w:val="BodyText"/>
        <w:spacing w:before="8" w:after="39"/>
        <w:rPr>
          <w:sz w:val="28"/>
        </w:rPr>
      </w:pPr>
    </w:p>
    <w:p>
      <w:pPr>
        <w:pStyle w:val="BodyText"/>
        <w:spacing w:line="195" w:lineRule="exact"/>
        <w:ind w:left="285"/>
        <w:rPr>
          <w:sz w:val="19"/>
        </w:rPr>
      </w:pPr>
      <w:r>
        <w:rPr>
          <w:position w:val="-3"/>
          <w:sz w:val="19"/>
        </w:rPr>
        <w:drawing>
          <wp:inline distT="0" distB="0" distL="0" distR="0">
            <wp:extent cx="178394" cy="123825"/>
            <wp:effectExtent l="0" t="0" r="0" b="0"/>
            <wp:docPr id="31" name="image30.png" descr=""/>
            <wp:cNvGraphicFramePr>
              <a:graphicFrameLocks noChangeAspect="1"/>
            </wp:cNvGraphicFramePr>
            <a:graphic>
              <a:graphicData uri="http://schemas.openxmlformats.org/drawingml/2006/picture">
                <pic:pic>
                  <pic:nvPicPr>
                    <pic:cNvPr id="32" name="image30.png"/>
                    <pic:cNvPicPr/>
                  </pic:nvPicPr>
                  <pic:blipFill>
                    <a:blip r:embed="rId35" cstate="print"/>
                    <a:stretch>
                      <a:fillRect/>
                    </a:stretch>
                  </pic:blipFill>
                  <pic:spPr>
                    <a:xfrm>
                      <a:off x="0" y="0"/>
                      <a:ext cx="178394" cy="123825"/>
                    </a:xfrm>
                    <a:prstGeom prst="rect">
                      <a:avLst/>
                    </a:prstGeom>
                  </pic:spPr>
                </pic:pic>
              </a:graphicData>
            </a:graphic>
          </wp:inline>
        </w:drawing>
      </w:r>
      <w:r>
        <w:rPr>
          <w:position w:val="-3"/>
          <w:sz w:val="19"/>
        </w:rPr>
      </w:r>
    </w:p>
    <w:p>
      <w:pPr>
        <w:pStyle w:val="BodyText"/>
      </w:pPr>
      <w:r>
        <w:rPr/>
        <w:br w:type="column"/>
      </w:r>
      <w:r>
        <w:rPr/>
      </w:r>
    </w:p>
    <w:p>
      <w:pPr>
        <w:pStyle w:val="BodyText"/>
      </w:pPr>
    </w:p>
    <w:p>
      <w:pPr>
        <w:pStyle w:val="BodyText"/>
      </w:pPr>
    </w:p>
    <w:p>
      <w:pPr>
        <w:pStyle w:val="BodyText"/>
      </w:pPr>
    </w:p>
    <w:p>
      <w:pPr>
        <w:pStyle w:val="BodyText"/>
        <w:spacing w:before="3"/>
        <w:rPr>
          <w:sz w:val="19"/>
        </w:rPr>
      </w:pPr>
    </w:p>
    <w:p>
      <w:pPr>
        <w:pStyle w:val="BodyText"/>
        <w:spacing w:before="1"/>
        <w:ind w:left="72"/>
      </w:pPr>
      <w:r>
        <w:rPr/>
        <w:pict>
          <v:group style="position:absolute;margin-left:617.030029pt;margin-top:-39.108509pt;width:39.6pt;height:39.6pt;mso-position-horizontal-relative:page;mso-position-vertical-relative:paragraph;z-index:2296" coordorigin="12341,-782" coordsize="792,792">
            <v:shape style="position:absolute;left:12340;top:-783;width:792;height:792" coordorigin="12341,-782" coordsize="792,792" path="m12737,-782l12665,-776,12598,-757,12537,-728,12482,-689,12434,-641,12395,-586,12365,-524,12347,-457,12341,-386,12347,-315,12365,-248,12395,-186,12434,-131,12482,-83,12537,-44,12598,-15,12665,3,12737,10,12808,3,12875,-15,12937,-44,12992,-83,13039,-131,13079,-186,13108,-248,13126,-315,13133,-386,13126,-457,13108,-524,13079,-586,13039,-641,12992,-689,12937,-728,12875,-757,12808,-776,12737,-782xe" filled="true" fillcolor="#80d5c4" stroked="false">
              <v:path arrowok="t"/>
              <v:fill type="solid"/>
            </v:shape>
            <v:shape style="position:absolute;left:12340;top:-783;width:792;height:792" type="#_x0000_t202" filled="false" stroked="false">
              <v:textbox inset="0,0,0,0">
                <w:txbxContent>
                  <w:p>
                    <w:pPr>
                      <w:spacing w:line="240" w:lineRule="auto" w:before="11"/>
                      <w:rPr>
                        <w:sz w:val="20"/>
                      </w:rPr>
                    </w:pPr>
                  </w:p>
                  <w:p>
                    <w:pPr>
                      <w:spacing w:before="0"/>
                      <w:ind w:left="193" w:right="0" w:firstLine="0"/>
                      <w:jc w:val="left"/>
                      <w:rPr>
                        <w:rFonts w:ascii="Calibri Light"/>
                        <w:b w:val="0"/>
                        <w:sz w:val="24"/>
                      </w:rPr>
                    </w:pPr>
                    <w:r>
                      <w:rPr>
                        <w:rFonts w:ascii="Calibri Light"/>
                        <w:b w:val="0"/>
                        <w:color w:val="FFFFFF"/>
                        <w:sz w:val="24"/>
                      </w:rPr>
                      <w:t>22%</w:t>
                    </w:r>
                  </w:p>
                </w:txbxContent>
              </v:textbox>
              <w10:wrap type="none"/>
            </v:shape>
            <w10:wrap type="none"/>
          </v:group>
        </w:pict>
      </w:r>
      <w:r>
        <w:rPr/>
        <w:pict>
          <v:group style="position:absolute;margin-left:699.940002pt;margin-top:-39.108509pt;width:39.6pt;height:39.6pt;mso-position-horizontal-relative:page;mso-position-vertical-relative:paragraph;z-index:2344" coordorigin="13999,-782" coordsize="792,792">
            <v:shape style="position:absolute;left:13998;top:-783;width:792;height:792" coordorigin="13999,-782" coordsize="792,792" path="m14395,-782l14324,-776,14257,-757,14195,-728,14140,-689,14092,-641,14053,-586,14024,-524,14005,-457,13999,-386,14005,-315,14024,-248,14053,-186,14092,-131,14140,-83,14195,-44,14257,-15,14324,3,14395,10,14466,3,14533,-15,14595,-44,14650,-83,14698,-131,14737,-186,14766,-248,14784,-315,14791,-386,14784,-457,14766,-524,14737,-586,14698,-641,14650,-689,14595,-728,14533,-757,14466,-776,14395,-782xe" filled="true" fillcolor="#abe3d7" stroked="false">
              <v:path arrowok="t"/>
              <v:fill type="solid"/>
            </v:shape>
            <v:shape style="position:absolute;left:13998;top:-783;width:792;height:792" type="#_x0000_t202" filled="false" stroked="false">
              <v:textbox inset="0,0,0,0">
                <w:txbxContent>
                  <w:p>
                    <w:pPr>
                      <w:spacing w:line="240" w:lineRule="auto" w:before="11"/>
                      <w:rPr>
                        <w:sz w:val="20"/>
                      </w:rPr>
                    </w:pPr>
                  </w:p>
                  <w:p>
                    <w:pPr>
                      <w:spacing w:before="0"/>
                      <w:ind w:left="254" w:right="0" w:firstLine="0"/>
                      <w:jc w:val="left"/>
                      <w:rPr>
                        <w:rFonts w:ascii="Calibri Light"/>
                        <w:b w:val="0"/>
                        <w:sz w:val="24"/>
                      </w:rPr>
                    </w:pPr>
                    <w:r>
                      <w:rPr>
                        <w:rFonts w:ascii="Calibri Light"/>
                        <w:b w:val="0"/>
                        <w:color w:val="FFFFFF"/>
                        <w:sz w:val="24"/>
                      </w:rPr>
                      <w:t>5%</w:t>
                    </w:r>
                  </w:p>
                </w:txbxContent>
              </v:textbox>
              <w10:wrap type="none"/>
            </v:shape>
            <w10:wrap type="none"/>
          </v:group>
        </w:pict>
      </w:r>
      <w:r>
        <w:rPr/>
        <w:t>10+ </w:t>
      </w:r>
      <w:r>
        <w:rPr>
          <w:spacing w:val="-6"/>
        </w:rPr>
        <w:t>days</w:t>
      </w:r>
    </w:p>
    <w:p>
      <w:pPr>
        <w:pStyle w:val="BodyText"/>
        <w:spacing w:before="108"/>
        <w:ind w:left="76"/>
      </w:pPr>
      <w:r>
        <w:rPr/>
        <w:br w:type="column"/>
      </w:r>
      <w:r>
        <w:rPr/>
        <w:t>4–5 days</w:t>
      </w:r>
    </w:p>
    <w:p>
      <w:pPr>
        <w:spacing w:after="0"/>
        <w:sectPr>
          <w:type w:val="continuous"/>
          <w:pgSz w:w="16840" w:h="11910" w:orient="landscape"/>
          <w:pgMar w:top="960" w:bottom="280" w:left="540" w:right="260"/>
          <w:cols w:num="6" w:equalWidth="0">
            <w:col w:w="10165" w:space="591"/>
            <w:col w:w="903" w:space="39"/>
            <w:col w:w="861" w:space="40"/>
            <w:col w:w="793" w:space="40"/>
            <w:col w:w="789" w:space="40"/>
            <w:col w:w="1779"/>
          </w:cols>
        </w:sectPr>
      </w:pPr>
    </w:p>
    <w:p>
      <w:pPr>
        <w:pStyle w:val="BodyText"/>
        <w:spacing w:before="1"/>
        <w:rPr>
          <w:sz w:val="15"/>
        </w:rPr>
      </w:pPr>
    </w:p>
    <w:p>
      <w:pPr>
        <w:spacing w:after="0"/>
        <w:rPr>
          <w:sz w:val="15"/>
        </w:rPr>
        <w:sectPr>
          <w:type w:val="continuous"/>
          <w:pgSz w:w="16840" w:h="11910" w:orient="landscape"/>
          <w:pgMar w:top="960" w:bottom="280" w:left="540" w:right="26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9"/>
        <w:rPr>
          <w:sz w:val="23"/>
        </w:rPr>
      </w:pPr>
    </w:p>
    <w:p>
      <w:pPr>
        <w:spacing w:before="0"/>
        <w:ind w:left="321" w:right="0" w:firstLine="0"/>
        <w:jc w:val="left"/>
        <w:rPr>
          <w:rFonts w:ascii="Gill Sans MT"/>
          <w:sz w:val="17"/>
        </w:rPr>
      </w:pPr>
      <w:r>
        <w:rPr>
          <w:rFonts w:ascii="Gill Sans MT"/>
          <w:color w:val="FF6621"/>
          <w:w w:val="105"/>
          <w:sz w:val="22"/>
        </w:rPr>
        <w:t>T</w:t>
      </w:r>
      <w:r>
        <w:rPr>
          <w:rFonts w:ascii="Gill Sans MT"/>
          <w:color w:val="FF6621"/>
          <w:w w:val="105"/>
          <w:sz w:val="17"/>
        </w:rPr>
        <w:t>OPICS OF </w:t>
      </w:r>
      <w:r>
        <w:rPr>
          <w:rFonts w:ascii="Gill Sans MT"/>
          <w:color w:val="FF6621"/>
          <w:w w:val="105"/>
          <w:sz w:val="22"/>
        </w:rPr>
        <w:t>R</w:t>
      </w:r>
      <w:r>
        <w:rPr>
          <w:rFonts w:ascii="Gill Sans MT"/>
          <w:color w:val="FF6621"/>
          <w:w w:val="105"/>
          <w:sz w:val="17"/>
        </w:rPr>
        <w:t>EQUESTS</w:t>
      </w:r>
    </w:p>
    <w:p>
      <w:pPr>
        <w:pStyle w:val="BodyText"/>
        <w:spacing w:before="133"/>
        <w:ind w:left="321"/>
      </w:pPr>
      <w:r>
        <w:rPr/>
        <w:t>This financial year, most requests for advice concerned potential conflict of interest issues in regard to:</w:t>
      </w:r>
    </w:p>
    <w:p>
      <w:pPr>
        <w:spacing w:before="101"/>
        <w:ind w:left="359" w:right="0" w:firstLine="0"/>
        <w:jc w:val="left"/>
        <w:rPr>
          <w:rFonts w:ascii="Gill Sans MT"/>
          <w:sz w:val="17"/>
        </w:rPr>
      </w:pPr>
      <w:r>
        <w:rPr/>
        <w:br w:type="column"/>
      </w:r>
      <w:r>
        <w:rPr>
          <w:rFonts w:ascii="Gill Sans MT"/>
          <w:color w:val="FF6621"/>
          <w:w w:val="105"/>
          <w:sz w:val="22"/>
        </w:rPr>
        <w:t>N</w:t>
      </w:r>
      <w:r>
        <w:rPr>
          <w:rFonts w:ascii="Gill Sans MT"/>
          <w:color w:val="FF6621"/>
          <w:w w:val="105"/>
          <w:sz w:val="17"/>
        </w:rPr>
        <w:t>UMBER OF </w:t>
      </w:r>
      <w:r>
        <w:rPr>
          <w:rFonts w:ascii="Gill Sans MT"/>
          <w:color w:val="FF6621"/>
          <w:w w:val="105"/>
          <w:sz w:val="22"/>
        </w:rPr>
        <w:t>A</w:t>
      </w:r>
      <w:r>
        <w:rPr>
          <w:rFonts w:ascii="Gill Sans MT"/>
          <w:color w:val="FF6621"/>
          <w:w w:val="105"/>
          <w:sz w:val="17"/>
        </w:rPr>
        <w:t>DVICE </w:t>
      </w:r>
      <w:r>
        <w:rPr>
          <w:rFonts w:ascii="Gill Sans MT"/>
          <w:color w:val="FF6621"/>
          <w:w w:val="105"/>
          <w:sz w:val="22"/>
        </w:rPr>
        <w:t>R</w:t>
      </w:r>
      <w:r>
        <w:rPr>
          <w:rFonts w:ascii="Gill Sans MT"/>
          <w:color w:val="FF6621"/>
          <w:w w:val="105"/>
          <w:sz w:val="17"/>
        </w:rPr>
        <w:t>EQUESTS</w:t>
      </w:r>
    </w:p>
    <w:p>
      <w:pPr>
        <w:spacing w:after="0"/>
        <w:jc w:val="left"/>
        <w:rPr>
          <w:rFonts w:ascii="Gill Sans MT"/>
          <w:sz w:val="17"/>
        </w:rPr>
        <w:sectPr>
          <w:type w:val="continuous"/>
          <w:pgSz w:w="16840" w:h="11910" w:orient="landscape"/>
          <w:pgMar w:top="960" w:bottom="280" w:left="540" w:right="260"/>
          <w:cols w:num="2" w:equalWidth="0">
            <w:col w:w="8710" w:space="1650"/>
            <w:col w:w="5680"/>
          </w:cols>
        </w:sectPr>
      </w:pPr>
    </w:p>
    <w:p>
      <w:pPr>
        <w:pStyle w:val="ListParagraph"/>
        <w:numPr>
          <w:ilvl w:val="0"/>
          <w:numId w:val="3"/>
        </w:numPr>
        <w:tabs>
          <w:tab w:pos="681" w:val="left" w:leader="none"/>
          <w:tab w:pos="682" w:val="left" w:leader="none"/>
        </w:tabs>
        <w:spacing w:line="240" w:lineRule="auto" w:before="51" w:after="0"/>
        <w:ind w:left="681" w:right="0" w:hanging="360"/>
        <w:jc w:val="left"/>
        <w:rPr>
          <w:sz w:val="20"/>
        </w:rPr>
      </w:pPr>
      <w:r>
        <w:rPr/>
        <w:pict>
          <v:shape style="position:absolute;margin-left:693.219971pt;margin-top:51.518009pt;width:113.8pt;height:16.95pt;mso-position-horizontal-relative:page;mso-position-vertical-relative:page;z-index:2536" type="#_x0000_t202" filled="false" stroked="true" strokeweight="1pt" strokecolor="#2cb99d">
            <v:textbox inset="0,0,0,0">
              <w:txbxContent>
                <w:p>
                  <w:pPr>
                    <w:pStyle w:val="BodyText"/>
                    <w:spacing w:before="58"/>
                    <w:ind w:left="57"/>
                  </w:pPr>
                  <w:r>
                    <w:rPr>
                      <w:b/>
                    </w:rPr>
                    <w:t>36 </w:t>
                  </w:r>
                  <w:r>
                    <w:rPr/>
                    <w:t>Legislative Assembly</w:t>
                  </w:r>
                </w:p>
              </w:txbxContent>
            </v:textbox>
            <v:stroke dashstyle="solid"/>
            <w10:wrap type="none"/>
          </v:shape>
        </w:pict>
      </w:r>
      <w:r>
        <w:rPr>
          <w:sz w:val="20"/>
        </w:rPr>
        <w:t>shareholdings, property ownership and</w:t>
      </w:r>
      <w:r>
        <w:rPr>
          <w:spacing w:val="-15"/>
          <w:sz w:val="20"/>
        </w:rPr>
        <w:t> </w:t>
      </w:r>
      <w:r>
        <w:rPr>
          <w:sz w:val="20"/>
        </w:rPr>
        <w:t>developments</w:t>
      </w:r>
    </w:p>
    <w:p>
      <w:pPr>
        <w:pStyle w:val="ListParagraph"/>
        <w:numPr>
          <w:ilvl w:val="0"/>
          <w:numId w:val="3"/>
        </w:numPr>
        <w:tabs>
          <w:tab w:pos="681" w:val="left" w:leader="none"/>
          <w:tab w:pos="682" w:val="left" w:leader="none"/>
        </w:tabs>
        <w:spacing w:line="240" w:lineRule="auto" w:before="33" w:after="0"/>
        <w:ind w:left="681" w:right="0" w:hanging="360"/>
        <w:jc w:val="left"/>
        <w:rPr>
          <w:sz w:val="20"/>
        </w:rPr>
      </w:pPr>
      <w:r>
        <w:rPr>
          <w:sz w:val="20"/>
        </w:rPr>
        <w:t>managing the consequences of accepting</w:t>
      </w:r>
      <w:r>
        <w:rPr>
          <w:spacing w:val="-16"/>
          <w:sz w:val="20"/>
        </w:rPr>
        <w:t> </w:t>
      </w:r>
      <w:r>
        <w:rPr>
          <w:sz w:val="20"/>
        </w:rPr>
        <w:t>donations</w:t>
      </w:r>
    </w:p>
    <w:p>
      <w:pPr>
        <w:pStyle w:val="ListParagraph"/>
        <w:numPr>
          <w:ilvl w:val="0"/>
          <w:numId w:val="3"/>
        </w:numPr>
        <w:tabs>
          <w:tab w:pos="681" w:val="left" w:leader="none"/>
          <w:tab w:pos="682" w:val="left" w:leader="none"/>
        </w:tabs>
        <w:spacing w:line="240" w:lineRule="auto" w:before="33" w:after="0"/>
        <w:ind w:left="681" w:right="0" w:hanging="360"/>
        <w:jc w:val="left"/>
        <w:rPr>
          <w:sz w:val="20"/>
        </w:rPr>
      </w:pPr>
      <w:r>
        <w:rPr>
          <w:sz w:val="20"/>
        </w:rPr>
        <w:t>conflicts arising due to employment/business</w:t>
      </w:r>
      <w:r>
        <w:rPr>
          <w:spacing w:val="-24"/>
          <w:sz w:val="20"/>
        </w:rPr>
        <w:t> </w:t>
      </w:r>
      <w:r>
        <w:rPr>
          <w:sz w:val="20"/>
        </w:rPr>
        <w:t>interests</w:t>
      </w:r>
    </w:p>
    <w:p>
      <w:pPr>
        <w:pStyle w:val="ListParagraph"/>
        <w:numPr>
          <w:ilvl w:val="0"/>
          <w:numId w:val="3"/>
        </w:numPr>
        <w:tabs>
          <w:tab w:pos="681" w:val="left" w:leader="none"/>
          <w:tab w:pos="682" w:val="left" w:leader="none"/>
        </w:tabs>
        <w:spacing w:line="240" w:lineRule="auto" w:before="51" w:after="0"/>
        <w:ind w:left="681" w:right="0" w:hanging="360"/>
        <w:jc w:val="left"/>
        <w:rPr>
          <w:sz w:val="20"/>
        </w:rPr>
      </w:pPr>
      <w:r>
        <w:rPr>
          <w:w w:val="99"/>
          <w:sz w:val="20"/>
        </w:rPr>
        <w:br w:type="column"/>
      </w:r>
      <w:r>
        <w:rPr>
          <w:sz w:val="20"/>
        </w:rPr>
        <w:t>acceptance of hospitality, gifts, and other</w:t>
      </w:r>
      <w:r>
        <w:rPr>
          <w:spacing w:val="-6"/>
          <w:sz w:val="20"/>
        </w:rPr>
        <w:t> </w:t>
      </w:r>
      <w:r>
        <w:rPr>
          <w:sz w:val="20"/>
        </w:rPr>
        <w:t>benefits</w:t>
      </w:r>
    </w:p>
    <w:p>
      <w:pPr>
        <w:pStyle w:val="ListParagraph"/>
        <w:numPr>
          <w:ilvl w:val="0"/>
          <w:numId w:val="3"/>
        </w:numPr>
        <w:tabs>
          <w:tab w:pos="681" w:val="left" w:leader="none"/>
          <w:tab w:pos="682" w:val="left" w:leader="none"/>
        </w:tabs>
        <w:spacing w:line="240" w:lineRule="auto" w:before="33" w:after="0"/>
        <w:ind w:left="681" w:right="0" w:hanging="360"/>
        <w:jc w:val="left"/>
        <w:rPr>
          <w:sz w:val="20"/>
        </w:rPr>
      </w:pPr>
      <w:r>
        <w:rPr/>
        <w:drawing>
          <wp:anchor distT="0" distB="0" distL="0" distR="0" allowOverlap="1" layoutInCell="1" locked="0" behindDoc="0" simplePos="0" relativeHeight="2512">
            <wp:simplePos x="0" y="0"/>
            <wp:positionH relativeFrom="page">
              <wp:posOffset>7125843</wp:posOffset>
            </wp:positionH>
            <wp:positionV relativeFrom="paragraph">
              <wp:posOffset>-1494285</wp:posOffset>
            </wp:positionV>
            <wp:extent cx="3114167" cy="1826387"/>
            <wp:effectExtent l="0" t="0" r="0" b="0"/>
            <wp:wrapNone/>
            <wp:docPr id="33" name="image31.jpeg" descr=""/>
            <wp:cNvGraphicFramePr>
              <a:graphicFrameLocks noChangeAspect="1"/>
            </wp:cNvGraphicFramePr>
            <a:graphic>
              <a:graphicData uri="http://schemas.openxmlformats.org/drawingml/2006/picture">
                <pic:pic>
                  <pic:nvPicPr>
                    <pic:cNvPr id="34" name="image31.jpeg"/>
                    <pic:cNvPicPr/>
                  </pic:nvPicPr>
                  <pic:blipFill>
                    <a:blip r:embed="rId36" cstate="print"/>
                    <a:stretch>
                      <a:fillRect/>
                    </a:stretch>
                  </pic:blipFill>
                  <pic:spPr>
                    <a:xfrm>
                      <a:off x="0" y="0"/>
                      <a:ext cx="3114167" cy="1826387"/>
                    </a:xfrm>
                    <a:prstGeom prst="rect">
                      <a:avLst/>
                    </a:prstGeom>
                  </pic:spPr>
                </pic:pic>
              </a:graphicData>
            </a:graphic>
          </wp:anchor>
        </w:drawing>
      </w:r>
      <w:r>
        <w:rPr>
          <w:sz w:val="20"/>
        </w:rPr>
        <w:t>competing statutory obligations,</w:t>
      </w:r>
      <w:r>
        <w:rPr>
          <w:spacing w:val="1"/>
          <w:sz w:val="20"/>
        </w:rPr>
        <w:t> </w:t>
      </w:r>
      <w:r>
        <w:rPr>
          <w:sz w:val="20"/>
        </w:rPr>
        <w:t>and</w:t>
      </w:r>
    </w:p>
    <w:p>
      <w:pPr>
        <w:pStyle w:val="ListParagraph"/>
        <w:numPr>
          <w:ilvl w:val="0"/>
          <w:numId w:val="3"/>
        </w:numPr>
        <w:tabs>
          <w:tab w:pos="681" w:val="left" w:leader="none"/>
          <w:tab w:pos="682" w:val="left" w:leader="none"/>
        </w:tabs>
        <w:spacing w:line="240" w:lineRule="auto" w:before="33" w:after="0"/>
        <w:ind w:left="681" w:right="0" w:hanging="360"/>
        <w:jc w:val="left"/>
        <w:rPr>
          <w:sz w:val="20"/>
        </w:rPr>
      </w:pPr>
      <w:r>
        <w:rPr>
          <w:sz w:val="20"/>
        </w:rPr>
        <w:t>Post separation issues from new/future</w:t>
      </w:r>
      <w:r>
        <w:rPr>
          <w:spacing w:val="-2"/>
          <w:sz w:val="20"/>
        </w:rPr>
        <w:t> </w:t>
      </w:r>
      <w:r>
        <w:rPr>
          <w:sz w:val="20"/>
        </w:rPr>
        <w:t>employment.</w:t>
      </w:r>
    </w:p>
    <w:p>
      <w:pPr>
        <w:spacing w:after="0" w:line="240" w:lineRule="auto"/>
        <w:jc w:val="left"/>
        <w:rPr>
          <w:sz w:val="20"/>
        </w:rPr>
        <w:sectPr>
          <w:type w:val="continuous"/>
          <w:pgSz w:w="16840" w:h="11910" w:orient="landscape"/>
          <w:pgMar w:top="960" w:bottom="280" w:left="540" w:right="260"/>
          <w:cols w:num="2" w:equalWidth="0">
            <w:col w:w="5157" w:space="97"/>
            <w:col w:w="10786"/>
          </w:cols>
        </w:sectPr>
      </w:pPr>
    </w:p>
    <w:p>
      <w:pPr>
        <w:pStyle w:val="Heading2"/>
        <w:ind w:left="331"/>
      </w:pPr>
      <w:r>
        <w:rPr>
          <w:color w:val="2CB99D"/>
          <w:sz w:val="32"/>
        </w:rPr>
        <w:t>L</w:t>
      </w:r>
      <w:r>
        <w:rPr>
          <w:color w:val="2CB99D"/>
        </w:rPr>
        <w:t>OBBYISTS </w:t>
      </w:r>
      <w:r>
        <w:rPr>
          <w:color w:val="2CB99D"/>
          <w:sz w:val="32"/>
        </w:rPr>
        <w:t>F</w:t>
      </w:r>
      <w:r>
        <w:rPr>
          <w:color w:val="2CB99D"/>
        </w:rPr>
        <w:t>UNCTION</w:t>
      </w:r>
    </w:p>
    <w:p>
      <w:pPr>
        <w:pStyle w:val="BodyText"/>
        <w:spacing w:line="276" w:lineRule="auto" w:before="141"/>
        <w:ind w:left="331"/>
      </w:pPr>
      <w:r>
        <w:rPr/>
        <w:t>Section 7(1)(c) of the </w:t>
      </w:r>
      <w:r>
        <w:rPr>
          <w:i/>
        </w:rPr>
        <w:t>Integrity Act 2009 </w:t>
      </w:r>
      <w:r>
        <w:rPr/>
        <w:t>states that it is a function of the Integrity Commissioner to keep the lobbyists register and have responsibility for the registration of lobbyists.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51"/>
        <w:ind w:left="331" w:right="0" w:firstLine="0"/>
        <w:jc w:val="left"/>
        <w:rPr>
          <w:rFonts w:ascii="Gill Sans MT"/>
          <w:sz w:val="17"/>
        </w:rPr>
      </w:pPr>
      <w:r>
        <w:rPr>
          <w:rFonts w:ascii="Gill Sans MT"/>
          <w:color w:val="FF6621"/>
          <w:w w:val="105"/>
          <w:sz w:val="22"/>
        </w:rPr>
        <w:t>R</w:t>
      </w:r>
      <w:r>
        <w:rPr>
          <w:rFonts w:ascii="Gill Sans MT"/>
          <w:color w:val="FF6621"/>
          <w:w w:val="105"/>
          <w:sz w:val="17"/>
        </w:rPr>
        <w:t>EQUESTS FOR </w:t>
      </w:r>
      <w:r>
        <w:rPr>
          <w:rFonts w:ascii="Gill Sans MT"/>
          <w:color w:val="FF6621"/>
          <w:w w:val="105"/>
          <w:sz w:val="22"/>
        </w:rPr>
        <w:t>A</w:t>
      </w:r>
      <w:r>
        <w:rPr>
          <w:rFonts w:ascii="Gill Sans MT"/>
          <w:color w:val="FF6621"/>
          <w:w w:val="105"/>
          <w:sz w:val="17"/>
        </w:rPr>
        <w:t>DVICE ABOUT </w:t>
      </w:r>
      <w:r>
        <w:rPr>
          <w:rFonts w:ascii="Gill Sans MT"/>
          <w:color w:val="FF6621"/>
          <w:w w:val="105"/>
          <w:sz w:val="22"/>
        </w:rPr>
        <w:t>L</w:t>
      </w:r>
      <w:r>
        <w:rPr>
          <w:rFonts w:ascii="Gill Sans MT"/>
          <w:color w:val="FF6621"/>
          <w:w w:val="105"/>
          <w:sz w:val="17"/>
        </w:rPr>
        <w:t>OBBYING</w:t>
      </w:r>
    </w:p>
    <w:p>
      <w:pPr>
        <w:pStyle w:val="BodyText"/>
        <w:spacing w:line="276" w:lineRule="auto" w:before="134"/>
        <w:ind w:left="331" w:right="273"/>
        <w:jc w:val="both"/>
      </w:pPr>
      <w:r>
        <w:rPr/>
        <w:t>This</w:t>
      </w:r>
      <w:r>
        <w:rPr>
          <w:spacing w:val="-5"/>
        </w:rPr>
        <w:t> </w:t>
      </w:r>
      <w:r>
        <w:rPr/>
        <w:t>financial</w:t>
      </w:r>
      <w:r>
        <w:rPr>
          <w:spacing w:val="-4"/>
        </w:rPr>
        <w:t> </w:t>
      </w:r>
      <w:r>
        <w:rPr/>
        <w:t>year,</w:t>
      </w:r>
      <w:r>
        <w:rPr>
          <w:spacing w:val="-2"/>
        </w:rPr>
        <w:t> </w:t>
      </w:r>
      <w:r>
        <w:rPr/>
        <w:t>the</w:t>
      </w:r>
      <w:r>
        <w:rPr>
          <w:spacing w:val="-4"/>
        </w:rPr>
        <w:t> </w:t>
      </w:r>
      <w:r>
        <w:rPr/>
        <w:t>Integrity</w:t>
      </w:r>
      <w:r>
        <w:rPr>
          <w:spacing w:val="-2"/>
        </w:rPr>
        <w:t> </w:t>
      </w:r>
      <w:r>
        <w:rPr/>
        <w:t>Commissioner</w:t>
      </w:r>
      <w:r>
        <w:rPr>
          <w:spacing w:val="-3"/>
        </w:rPr>
        <w:t> </w:t>
      </w:r>
      <w:r>
        <w:rPr/>
        <w:t>received</w:t>
      </w:r>
      <w:r>
        <w:rPr>
          <w:spacing w:val="-2"/>
        </w:rPr>
        <w:t> </w:t>
      </w:r>
      <w:r>
        <w:rPr/>
        <w:t>16</w:t>
      </w:r>
      <w:r>
        <w:rPr>
          <w:spacing w:val="-1"/>
        </w:rPr>
        <w:t> </w:t>
      </w:r>
      <w:r>
        <w:rPr/>
        <w:t>requests</w:t>
      </w:r>
      <w:r>
        <w:rPr>
          <w:spacing w:val="-5"/>
        </w:rPr>
        <w:t> </w:t>
      </w:r>
      <w:r>
        <w:rPr/>
        <w:t>for</w:t>
      </w:r>
      <w:r>
        <w:rPr>
          <w:spacing w:val="-2"/>
        </w:rPr>
        <w:t> </w:t>
      </w:r>
      <w:r>
        <w:rPr/>
        <w:t>advice</w:t>
      </w:r>
      <w:r>
        <w:rPr>
          <w:spacing w:val="-4"/>
        </w:rPr>
        <w:t> </w:t>
      </w:r>
      <w:r>
        <w:rPr/>
        <w:t>about</w:t>
      </w:r>
      <w:r>
        <w:rPr>
          <w:spacing w:val="-3"/>
        </w:rPr>
        <w:t> </w:t>
      </w:r>
      <w:r>
        <w:rPr/>
        <w:t>lobbying,</w:t>
      </w:r>
      <w:r>
        <w:rPr>
          <w:spacing w:val="-2"/>
        </w:rPr>
        <w:t> </w:t>
      </w:r>
      <w:r>
        <w:rPr/>
        <w:t>14</w:t>
      </w:r>
      <w:r>
        <w:rPr>
          <w:spacing w:val="-4"/>
        </w:rPr>
        <w:t> </w:t>
      </w:r>
      <w:r>
        <w:rPr/>
        <w:t>were responded to with formal written advice and 2 were referred to the Queensland Police Service and the Crime and Corruption</w:t>
      </w:r>
      <w:r>
        <w:rPr>
          <w:spacing w:val="-2"/>
        </w:rPr>
        <w:t> </w:t>
      </w:r>
      <w:r>
        <w:rPr/>
        <w:t>Commission.</w:t>
      </w:r>
    </w:p>
    <w:p>
      <w:pPr>
        <w:pStyle w:val="BodyText"/>
        <w:spacing w:before="11" w:after="39"/>
        <w:rPr>
          <w:sz w:val="27"/>
        </w:rPr>
      </w:pPr>
      <w:r>
        <w:rPr/>
        <w:br w:type="column"/>
      </w:r>
      <w:r>
        <w:rPr>
          <w:sz w:val="27"/>
        </w:rPr>
      </w:r>
    </w:p>
    <w:p>
      <w:pPr>
        <w:pStyle w:val="BodyText"/>
        <w:ind w:left="331"/>
      </w:pPr>
      <w:r>
        <w:rPr/>
        <w:drawing>
          <wp:inline distT="0" distB="0" distL="0" distR="0">
            <wp:extent cx="3945941" cy="3846576"/>
            <wp:effectExtent l="0" t="0" r="0" b="0"/>
            <wp:docPr id="35" name="image32.png" descr=""/>
            <wp:cNvGraphicFramePr>
              <a:graphicFrameLocks noChangeAspect="1"/>
            </wp:cNvGraphicFramePr>
            <a:graphic>
              <a:graphicData uri="http://schemas.openxmlformats.org/drawingml/2006/picture">
                <pic:pic>
                  <pic:nvPicPr>
                    <pic:cNvPr id="36" name="image32.png"/>
                    <pic:cNvPicPr/>
                  </pic:nvPicPr>
                  <pic:blipFill>
                    <a:blip r:embed="rId37" cstate="print"/>
                    <a:stretch>
                      <a:fillRect/>
                    </a:stretch>
                  </pic:blipFill>
                  <pic:spPr>
                    <a:xfrm>
                      <a:off x="0" y="0"/>
                      <a:ext cx="3945941" cy="3846576"/>
                    </a:xfrm>
                    <a:prstGeom prst="rect">
                      <a:avLst/>
                    </a:prstGeom>
                  </pic:spPr>
                </pic:pic>
              </a:graphicData>
            </a:graphic>
          </wp:inline>
        </w:drawing>
      </w:r>
      <w:r>
        <w:rPr/>
      </w:r>
    </w:p>
    <w:p>
      <w:pPr>
        <w:pStyle w:val="BodyText"/>
        <w:rPr>
          <w:sz w:val="26"/>
        </w:rPr>
      </w:pPr>
    </w:p>
    <w:p>
      <w:pPr>
        <w:pStyle w:val="BodyText"/>
        <w:spacing w:before="10"/>
        <w:rPr>
          <w:sz w:val="23"/>
        </w:rPr>
      </w:pPr>
    </w:p>
    <w:p>
      <w:pPr>
        <w:spacing w:before="0"/>
        <w:ind w:left="353" w:right="0" w:firstLine="0"/>
        <w:jc w:val="left"/>
        <w:rPr>
          <w:rFonts w:ascii="Gill Sans MT"/>
          <w:sz w:val="17"/>
        </w:rPr>
      </w:pPr>
      <w:r>
        <w:rPr/>
        <w:pict>
          <v:group style="position:absolute;margin-left:35.955002pt;margin-top:-290.768799pt;width:446.45pt;height:160.8pt;mso-position-horizontal-relative:page;mso-position-vertical-relative:paragraph;z-index:2608" coordorigin="719,-5815" coordsize="8929,3216">
            <v:shape style="position:absolute;left:719;top:-5816;width:8929;height:3216" coordorigin="719,-5815" coordsize="8929,3216" path="m9361,-5815l1005,-5815,929,-5805,861,-5776,803,-5732,758,-5674,729,-5605,719,-5529,719,-2885,729,-2809,758,-2741,803,-2683,861,-2638,929,-2610,1005,-2599,9361,-2599,9437,-2610,9505,-2638,9563,-2683,9608,-2741,9637,-2809,9647,-2885,9647,-5529,9637,-5605,9608,-5674,9563,-5732,9505,-5776,9437,-5805,9361,-5815xe" filled="true" fillcolor="#fff1cc" stroked="false">
              <v:path arrowok="t"/>
              <v:fill type="solid"/>
            </v:shape>
            <v:shape style="position:absolute;left:719;top:-5816;width:8929;height:3216" type="#_x0000_t202" filled="false" stroked="false">
              <v:textbox inset="0,0,0,0">
                <w:txbxContent>
                  <w:p>
                    <w:pPr>
                      <w:spacing w:before="76"/>
                      <w:ind w:left="152" w:right="0" w:firstLine="0"/>
                      <w:jc w:val="left"/>
                      <w:rPr>
                        <w:rFonts w:ascii="Gill Sans MT"/>
                        <w:sz w:val="17"/>
                      </w:rPr>
                    </w:pPr>
                    <w:r>
                      <w:rPr>
                        <w:rFonts w:ascii="Gill Sans MT"/>
                        <w:color w:val="FF6621"/>
                        <w:w w:val="105"/>
                        <w:sz w:val="22"/>
                      </w:rPr>
                      <w:t>A</w:t>
                    </w:r>
                    <w:r>
                      <w:rPr>
                        <w:rFonts w:ascii="Gill Sans MT"/>
                        <w:color w:val="FF6621"/>
                        <w:w w:val="105"/>
                        <w:sz w:val="17"/>
                      </w:rPr>
                      <w:t>BOUT THE </w:t>
                    </w:r>
                    <w:r>
                      <w:rPr>
                        <w:rFonts w:ascii="Gill Sans MT"/>
                        <w:color w:val="FF6621"/>
                        <w:w w:val="105"/>
                        <w:sz w:val="22"/>
                      </w:rPr>
                      <w:t>R</w:t>
                    </w:r>
                    <w:r>
                      <w:rPr>
                        <w:rFonts w:ascii="Gill Sans MT"/>
                        <w:color w:val="FF6621"/>
                        <w:w w:val="105"/>
                        <w:sz w:val="17"/>
                      </w:rPr>
                      <w:t>EGISTER</w:t>
                    </w:r>
                  </w:p>
                  <w:p>
                    <w:pPr>
                      <w:spacing w:line="276" w:lineRule="auto" w:before="133"/>
                      <w:ind w:left="152" w:right="0" w:firstLine="0"/>
                      <w:jc w:val="left"/>
                      <w:rPr>
                        <w:sz w:val="20"/>
                      </w:rPr>
                    </w:pPr>
                    <w:r>
                      <w:rPr>
                        <w:sz w:val="20"/>
                      </w:rPr>
                      <w:t>The Integrity Commissioner has been responsible for administering the regulation of lobbying activities under the </w:t>
                    </w:r>
                    <w:r>
                      <w:rPr>
                        <w:i/>
                        <w:sz w:val="20"/>
                      </w:rPr>
                      <w:t>Integrity Act 2009 </w:t>
                    </w:r>
                    <w:r>
                      <w:rPr>
                        <w:sz w:val="20"/>
                      </w:rPr>
                      <w:t>since 2010. This involves the maintenance of the Queensland Register of Lobbyists. The regulatory system is based on the requirement, under section 71 of the </w:t>
                    </w:r>
                    <w:r>
                      <w:rPr>
                        <w:i/>
                        <w:sz w:val="20"/>
                      </w:rPr>
                      <w:t>Integrity Act 2009</w:t>
                    </w:r>
                    <w:r>
                      <w:rPr>
                        <w:sz w:val="20"/>
                      </w:rPr>
                      <w:t>, that ‘government representatives’ must not knowingly permit an entity that is not a registered lobbyist to carry out a lobbying activity for a third party client with the government representative.</w:t>
                    </w:r>
                  </w:p>
                  <w:p>
                    <w:pPr>
                      <w:spacing w:line="276" w:lineRule="auto" w:before="121"/>
                      <w:ind w:left="152" w:right="365" w:firstLine="0"/>
                      <w:jc w:val="left"/>
                      <w:rPr>
                        <w:sz w:val="20"/>
                      </w:rPr>
                    </w:pPr>
                    <w:r>
                      <w:rPr>
                        <w:sz w:val="20"/>
                      </w:rPr>
                      <w:t>Lobbyists are required to comply with a Lobbyists Code of Conduct which imposes a set of ethical obligations and responsibilities on professional lobbyists seeking to influence government policy and</w:t>
                    </w:r>
                  </w:p>
                  <w:p>
                    <w:pPr>
                      <w:spacing w:line="276" w:lineRule="auto" w:before="0"/>
                      <w:ind w:left="152" w:right="0" w:firstLine="0"/>
                      <w:jc w:val="left"/>
                      <w:rPr>
                        <w:sz w:val="20"/>
                      </w:rPr>
                    </w:pPr>
                    <w:r>
                      <w:rPr>
                        <w:sz w:val="20"/>
                      </w:rPr>
                      <w:t>decision making, while representing the interest of another person or body for a fee or other reward. This document is available online at:</w:t>
                    </w:r>
                    <w:r>
                      <w:rPr>
                        <w:color w:val="0000FF"/>
                        <w:sz w:val="20"/>
                        <w:u w:val="single" w:color="0000FF"/>
                      </w:rPr>
                      <w:t> </w:t>
                    </w:r>
                    <w:hyperlink r:id="rId38">
                      <w:r>
                        <w:rPr>
                          <w:color w:val="0000FF"/>
                          <w:sz w:val="20"/>
                          <w:u w:val="single" w:color="0000FF"/>
                        </w:rPr>
                        <w:t>www.integrity.qld.gov.au/lobbyists/obligations-code-of-conduct.aspx</w:t>
                      </w:r>
                    </w:hyperlink>
                  </w:p>
                </w:txbxContent>
              </v:textbox>
              <w10:wrap type="none"/>
            </v:shape>
            <w10:wrap type="none"/>
          </v:group>
        </w:pict>
      </w:r>
      <w:r>
        <w:rPr/>
        <w:pict>
          <v:group style="position:absolute;margin-left:36.448002pt;margin-top:-64.158806pt;width:446.45pt;height:227.45pt;mso-position-horizontal-relative:page;mso-position-vertical-relative:paragraph;z-index:2656" coordorigin="729,-1283" coordsize="8929,4549">
            <v:shape style="position:absolute;left:728;top:-1284;width:8929;height:4549" coordorigin="729,-1283" coordsize="8929,4549" path="m9252,-1283l1134,-1283,1061,-1277,992,-1258,929,-1228,873,-1188,824,-1139,784,-1083,754,-1020,735,-951,729,-879,729,2861,735,2934,754,3002,784,3065,824,3121,873,3170,929,3210,992,3240,1061,3259,1134,3265,9252,3265,9325,3259,9394,3240,9457,3210,9513,3170,9562,3121,9602,3065,9632,3002,9650,2934,9657,2861,9657,-879,9650,-951,9632,-1020,9602,-1083,9562,-1139,9513,-1188,9457,-1228,9394,-1258,9325,-1277,9252,-1283xe" filled="true" fillcolor="#fff1cc" stroked="false">
              <v:path arrowok="t"/>
              <v:fill type="solid"/>
            </v:shape>
            <v:shape style="position:absolute;left:728;top:-1284;width:8929;height:4549" type="#_x0000_t202" filled="false" stroked="false">
              <v:textbox inset="0,0,0,0">
                <w:txbxContent>
                  <w:p>
                    <w:pPr>
                      <w:spacing w:before="100"/>
                      <w:ind w:left="142" w:right="0" w:firstLine="0"/>
                      <w:jc w:val="left"/>
                      <w:rPr>
                        <w:rFonts w:ascii="Gill Sans MT"/>
                        <w:sz w:val="17"/>
                      </w:rPr>
                    </w:pPr>
                    <w:r>
                      <w:rPr>
                        <w:rFonts w:ascii="Gill Sans MT"/>
                        <w:color w:val="FF6621"/>
                        <w:w w:val="105"/>
                        <w:sz w:val="22"/>
                      </w:rPr>
                      <w:t>M</w:t>
                    </w:r>
                    <w:r>
                      <w:rPr>
                        <w:rFonts w:ascii="Gill Sans MT"/>
                        <w:color w:val="FF6621"/>
                        <w:w w:val="105"/>
                        <w:sz w:val="17"/>
                      </w:rPr>
                      <w:t>AJOR </w:t>
                    </w:r>
                    <w:r>
                      <w:rPr>
                        <w:rFonts w:ascii="Gill Sans MT"/>
                        <w:color w:val="FF6621"/>
                        <w:w w:val="105"/>
                        <w:sz w:val="22"/>
                      </w:rPr>
                      <w:t>A</w:t>
                    </w:r>
                    <w:r>
                      <w:rPr>
                        <w:rFonts w:ascii="Gill Sans MT"/>
                        <w:color w:val="FF6621"/>
                        <w:w w:val="105"/>
                        <w:sz w:val="17"/>
                      </w:rPr>
                      <w:t>UDIT</w:t>
                    </w:r>
                  </w:p>
                  <w:p>
                    <w:pPr>
                      <w:spacing w:before="133"/>
                      <w:ind w:left="142" w:right="0" w:firstLine="0"/>
                      <w:jc w:val="left"/>
                      <w:rPr>
                        <w:sz w:val="20"/>
                      </w:rPr>
                    </w:pPr>
                    <w:r>
                      <w:rPr>
                        <w:sz w:val="20"/>
                      </w:rPr>
                      <w:t>In 2018–2019, the Integrity Commissioner commenced an extensive audit of compliance and useability</w:t>
                    </w:r>
                  </w:p>
                  <w:p>
                    <w:pPr>
                      <w:spacing w:line="276" w:lineRule="auto" w:before="37"/>
                      <w:ind w:left="142" w:right="0" w:firstLine="0"/>
                      <w:jc w:val="left"/>
                      <w:rPr>
                        <w:sz w:val="20"/>
                      </w:rPr>
                    </w:pPr>
                    <w:r>
                      <w:rPr>
                        <w:sz w:val="20"/>
                      </w:rPr>
                      <w:t>issues in relation to the Queensland Register of Lobbyists. During this process the Integrity Commissioner reviewed the registration of all entities and undertook a proactive approach towards currency of the</w:t>
                    </w:r>
                  </w:p>
                  <w:p>
                    <w:pPr>
                      <w:spacing w:before="0"/>
                      <w:ind w:left="142" w:right="0" w:firstLine="0"/>
                      <w:jc w:val="left"/>
                      <w:rPr>
                        <w:sz w:val="20"/>
                      </w:rPr>
                    </w:pPr>
                    <w:r>
                      <w:rPr>
                        <w:sz w:val="20"/>
                      </w:rPr>
                      <w:t>register and awareness of requirements for lobbyists. This involved confirming details were up to date</w:t>
                    </w:r>
                  </w:p>
                  <w:p>
                    <w:pPr>
                      <w:spacing w:before="37"/>
                      <w:ind w:left="142" w:right="0" w:firstLine="0"/>
                      <w:jc w:val="left"/>
                      <w:rPr>
                        <w:sz w:val="20"/>
                      </w:rPr>
                    </w:pPr>
                    <w:r>
                      <w:rPr>
                        <w:sz w:val="20"/>
                      </w:rPr>
                      <w:t>and discussing registration compliance obligations.</w:t>
                    </w:r>
                  </w:p>
                  <w:p>
                    <w:pPr>
                      <w:spacing w:line="276" w:lineRule="auto" w:before="157"/>
                      <w:ind w:left="142" w:right="0" w:firstLine="0"/>
                      <w:jc w:val="left"/>
                      <w:rPr>
                        <w:sz w:val="20"/>
                      </w:rPr>
                    </w:pPr>
                    <w:r>
                      <w:rPr>
                        <w:sz w:val="20"/>
                      </w:rPr>
                      <w:t>As a result, the Integrity Commissioner was satisfied as at 30 June 2019 that the compliance and contact details for all entities were in accordance with the </w:t>
                    </w:r>
                    <w:r>
                      <w:rPr>
                        <w:i/>
                        <w:sz w:val="20"/>
                      </w:rPr>
                      <w:t>Integrity Act 2009</w:t>
                    </w:r>
                    <w:r>
                      <w:rPr>
                        <w:sz w:val="20"/>
                      </w:rPr>
                      <w:t>. A number of other issues were</w:t>
                    </w:r>
                  </w:p>
                  <w:p>
                    <w:pPr>
                      <w:spacing w:before="0"/>
                      <w:ind w:left="142" w:right="0" w:firstLine="0"/>
                      <w:jc w:val="left"/>
                      <w:rPr>
                        <w:sz w:val="20"/>
                      </w:rPr>
                    </w:pPr>
                    <w:r>
                      <w:rPr>
                        <w:sz w:val="20"/>
                      </w:rPr>
                      <w:t>identified including:</w:t>
                    </w:r>
                  </w:p>
                  <w:p>
                    <w:pPr>
                      <w:numPr>
                        <w:ilvl w:val="0"/>
                        <w:numId w:val="6"/>
                      </w:numPr>
                      <w:tabs>
                        <w:tab w:pos="502" w:val="left" w:leader="none"/>
                        <w:tab w:pos="503" w:val="left" w:leader="none"/>
                      </w:tabs>
                      <w:spacing w:before="93"/>
                      <w:ind w:left="502" w:right="0" w:hanging="360"/>
                      <w:jc w:val="left"/>
                      <w:rPr>
                        <w:sz w:val="20"/>
                      </w:rPr>
                    </w:pPr>
                    <w:r>
                      <w:rPr>
                        <w:sz w:val="20"/>
                      </w:rPr>
                      <w:t>difficulties associated with lost passwords</w:t>
                    </w:r>
                  </w:p>
                  <w:p>
                    <w:pPr>
                      <w:numPr>
                        <w:ilvl w:val="0"/>
                        <w:numId w:val="6"/>
                      </w:numPr>
                      <w:tabs>
                        <w:tab w:pos="502" w:val="left" w:leader="none"/>
                        <w:tab w:pos="503" w:val="left" w:leader="none"/>
                      </w:tabs>
                      <w:spacing w:before="33"/>
                      <w:ind w:left="502" w:right="0" w:hanging="360"/>
                      <w:jc w:val="left"/>
                      <w:rPr>
                        <w:sz w:val="20"/>
                      </w:rPr>
                    </w:pPr>
                    <w:r>
                      <w:rPr>
                        <w:sz w:val="20"/>
                      </w:rPr>
                      <w:t>declarations to ensure suitability may be too narrowly defined,</w:t>
                    </w:r>
                    <w:r>
                      <w:rPr>
                        <w:spacing w:val="-7"/>
                        <w:sz w:val="20"/>
                      </w:rPr>
                      <w:t> </w:t>
                    </w:r>
                    <w:r>
                      <w:rPr>
                        <w:sz w:val="20"/>
                      </w:rPr>
                      <w:t>and</w:t>
                    </w:r>
                  </w:p>
                  <w:p>
                    <w:pPr>
                      <w:numPr>
                        <w:ilvl w:val="0"/>
                        <w:numId w:val="6"/>
                      </w:numPr>
                      <w:tabs>
                        <w:tab w:pos="502" w:val="left" w:leader="none"/>
                        <w:tab w:pos="503" w:val="left" w:leader="none"/>
                      </w:tabs>
                      <w:spacing w:before="33"/>
                      <w:ind w:left="502" w:right="0" w:hanging="360"/>
                      <w:jc w:val="left"/>
                      <w:rPr>
                        <w:sz w:val="20"/>
                      </w:rPr>
                    </w:pPr>
                    <w:r>
                      <w:rPr>
                        <w:sz w:val="20"/>
                      </w:rPr>
                      <w:t>website content could be slightly</w:t>
                    </w:r>
                    <w:r>
                      <w:rPr>
                        <w:spacing w:val="-2"/>
                        <w:sz w:val="20"/>
                      </w:rPr>
                      <w:t> </w:t>
                    </w:r>
                    <w:r>
                      <w:rPr>
                        <w:sz w:val="20"/>
                      </w:rPr>
                      <w:t>streamlined.</w:t>
                    </w:r>
                  </w:p>
                  <w:p>
                    <w:pPr>
                      <w:spacing w:line="276" w:lineRule="auto" w:before="97"/>
                      <w:ind w:left="142" w:right="0" w:firstLine="0"/>
                      <w:jc w:val="left"/>
                      <w:rPr>
                        <w:sz w:val="20"/>
                      </w:rPr>
                    </w:pPr>
                    <w:r>
                      <w:rPr>
                        <w:sz w:val="20"/>
                      </w:rPr>
                      <w:t>As a result, improved systems were put in place to assist with password retrieval, the declarations were expanded to capture additional relevant information, and the website was re-evaluated and streamlined.</w:t>
                    </w:r>
                  </w:p>
                </w:txbxContent>
              </v:textbox>
              <w10:wrap type="none"/>
            </v:shape>
            <w10:wrap type="none"/>
          </v:group>
        </w:pict>
      </w:r>
      <w:r>
        <w:rPr>
          <w:rFonts w:ascii="Gill Sans MT"/>
          <w:color w:val="FF6621"/>
          <w:w w:val="105"/>
          <w:sz w:val="22"/>
        </w:rPr>
        <w:t>Q</w:t>
      </w:r>
      <w:r>
        <w:rPr>
          <w:rFonts w:ascii="Gill Sans MT"/>
          <w:color w:val="FF6621"/>
          <w:w w:val="105"/>
          <w:sz w:val="17"/>
        </w:rPr>
        <w:t>UEENSLAND </w:t>
      </w:r>
      <w:r>
        <w:rPr>
          <w:rFonts w:ascii="Gill Sans MT"/>
          <w:color w:val="FF6621"/>
          <w:w w:val="105"/>
          <w:sz w:val="22"/>
        </w:rPr>
        <w:t>R</w:t>
      </w:r>
      <w:r>
        <w:rPr>
          <w:rFonts w:ascii="Gill Sans MT"/>
          <w:color w:val="FF6621"/>
          <w:w w:val="105"/>
          <w:sz w:val="17"/>
        </w:rPr>
        <w:t>EGISTER OF </w:t>
      </w:r>
      <w:r>
        <w:rPr>
          <w:rFonts w:ascii="Gill Sans MT"/>
          <w:color w:val="FF6621"/>
          <w:w w:val="105"/>
          <w:sz w:val="22"/>
        </w:rPr>
        <w:t>L</w:t>
      </w:r>
      <w:r>
        <w:rPr>
          <w:rFonts w:ascii="Gill Sans MT"/>
          <w:color w:val="FF6621"/>
          <w:w w:val="105"/>
          <w:sz w:val="17"/>
        </w:rPr>
        <w:t>OBBYISTS</w:t>
      </w:r>
    </w:p>
    <w:p>
      <w:pPr>
        <w:pStyle w:val="BodyText"/>
        <w:spacing w:before="2"/>
        <w:rPr>
          <w:rFonts w:ascii="Gill Sans MT"/>
          <w:sz w:val="23"/>
        </w:rPr>
      </w:pPr>
    </w:p>
    <w:p>
      <w:pPr>
        <w:pStyle w:val="Heading3"/>
        <w:tabs>
          <w:tab w:pos="3896" w:val="left" w:leader="none"/>
        </w:tabs>
        <w:ind w:left="2370"/>
      </w:pPr>
      <w:r>
        <w:rPr/>
        <w:t>Registered</w:t>
        <w:tab/>
        <w:t>De-registered</w:t>
      </w:r>
    </w:p>
    <w:p>
      <w:pPr>
        <w:spacing w:after="0"/>
        <w:sectPr>
          <w:pgSz w:w="16840" w:h="11910" w:orient="landscape"/>
          <w:pgMar w:header="0" w:footer="310" w:top="720" w:bottom="540" w:left="540" w:right="260"/>
          <w:cols w:num="2" w:equalWidth="0">
            <w:col w:w="8966" w:space="61"/>
            <w:col w:w="7013"/>
          </w:cols>
        </w:sectPr>
      </w:pPr>
    </w:p>
    <w:p>
      <w:pPr>
        <w:pStyle w:val="BodyText"/>
        <w:spacing w:before="5"/>
        <w:rPr>
          <w:rFonts w:ascii="Gill Sans MT"/>
          <w:sz w:val="29"/>
        </w:rPr>
      </w:pPr>
    </w:p>
    <w:p>
      <w:pPr>
        <w:spacing w:before="101"/>
        <w:ind w:left="10275" w:right="0" w:firstLine="0"/>
        <w:jc w:val="left"/>
        <w:rPr>
          <w:rFonts w:ascii="Gill Sans MT"/>
          <w:sz w:val="24"/>
        </w:rPr>
      </w:pPr>
      <w:r>
        <w:rPr/>
        <w:pict>
          <v:group style="position:absolute;margin-left:598.039978pt;margin-top:-10.799613pt;width:50.4pt;height:50.4pt;mso-position-horizontal-relative:page;mso-position-vertical-relative:paragraph;z-index:2704" coordorigin="11961,-216" coordsize="1008,1008">
            <v:shape style="position:absolute;left:11960;top:-216;width:1008;height:1008" coordorigin="11961,-216" coordsize="1008,1008" path="m12465,-216l12390,-211,12319,-195,12252,-169,12190,-135,12134,-92,12084,-43,12042,14,12008,76,11982,142,11966,214,11961,288,11966,362,11982,434,12008,501,12042,562,12084,619,12134,668,12190,711,12252,745,12319,771,12390,787,12465,792,12539,787,12610,771,12677,745,12739,711,12795,668,12845,619,12888,562,12922,501,12947,434,12963,362,12969,288,12963,214,12947,142,12922,76,12888,14,12845,-43,12795,-92,12739,-135,12677,-169,12610,-195,12539,-211,12465,-216xe" filled="true" fillcolor="#2cb99d" stroked="false">
              <v:path arrowok="t"/>
              <v:fill type="solid"/>
            </v:shape>
            <v:shape style="position:absolute;left:11960;top:-216;width:1008;height:1008" type="#_x0000_t202" filled="false" stroked="false">
              <v:textbox inset="0,0,0,0">
                <w:txbxContent>
                  <w:p>
                    <w:pPr>
                      <w:spacing w:before="233"/>
                      <w:ind w:left="203" w:right="0" w:firstLine="0"/>
                      <w:jc w:val="left"/>
                      <w:rPr>
                        <w:rFonts w:ascii="Gill Sans MT"/>
                        <w:sz w:val="40"/>
                      </w:rPr>
                    </w:pPr>
                    <w:r>
                      <w:rPr>
                        <w:rFonts w:ascii="Gill Sans MT"/>
                        <w:color w:val="FFFFFF"/>
                        <w:sz w:val="40"/>
                      </w:rPr>
                      <w:t>105</w:t>
                    </w:r>
                  </w:p>
                </w:txbxContent>
              </v:textbox>
              <w10:wrap type="none"/>
            </v:shape>
            <w10:wrap type="none"/>
          </v:group>
        </w:pict>
      </w:r>
      <w:r>
        <w:rPr/>
        <w:pict>
          <v:group style="position:absolute;margin-left:598.039978pt;margin-top:50.331387pt;width:50.4pt;height:50.4pt;mso-position-horizontal-relative:page;mso-position-vertical-relative:paragraph;z-index:2752" coordorigin="11961,1007" coordsize="1008,1008">
            <v:shape style="position:absolute;left:11960;top:1006;width:1008;height:1008" coordorigin="11961,1007" coordsize="1008,1008" path="m12465,1007l12390,1012,12319,1028,12252,1053,12190,1088,12134,1130,12084,1180,12042,1236,12008,1298,11982,1365,11966,1436,11961,1511,11966,1585,11982,1656,12008,1723,12042,1785,12084,1841,12134,1891,12190,1933,12252,1968,12319,1993,12390,2009,12465,2015,12539,2009,12610,1993,12677,1968,12739,1933,12795,1891,12845,1841,12888,1785,12922,1723,12947,1656,12963,1585,12969,1511,12963,1436,12947,1365,12922,1298,12888,1236,12845,1180,12795,1130,12739,1088,12677,1053,12610,1028,12539,1012,12465,1007xe" filled="true" fillcolor="#2cb99d" stroked="false">
              <v:path arrowok="t"/>
              <v:fill type="solid"/>
            </v:shape>
            <v:shape style="position:absolute;left:11960;top:1006;width:1008;height:1008" type="#_x0000_t202" filled="false" stroked="false">
              <v:textbox inset="0,0,0,0">
                <w:txbxContent>
                  <w:p>
                    <w:pPr>
                      <w:spacing w:before="232"/>
                      <w:ind w:left="203" w:right="0" w:firstLine="0"/>
                      <w:jc w:val="left"/>
                      <w:rPr>
                        <w:rFonts w:ascii="Gill Sans MT"/>
                        <w:sz w:val="40"/>
                      </w:rPr>
                    </w:pPr>
                    <w:r>
                      <w:rPr>
                        <w:rFonts w:ascii="Gill Sans MT"/>
                        <w:color w:val="FFFFFF"/>
                        <w:sz w:val="40"/>
                      </w:rPr>
                      <w:t>263</w:t>
                    </w:r>
                  </w:p>
                </w:txbxContent>
              </v:textbox>
              <w10:wrap type="none"/>
            </v:shape>
            <w10:wrap type="none"/>
          </v:group>
        </w:pict>
      </w:r>
      <w:r>
        <w:rPr/>
        <w:pict>
          <v:group style="position:absolute;margin-left:680.419983pt;margin-top:-10.459613pt;width:50.4pt;height:50.4pt;mso-position-horizontal-relative:page;mso-position-vertical-relative:paragraph;z-index:2800" coordorigin="13608,-209" coordsize="1008,1008">
            <v:shape style="position:absolute;left:13608;top:-210;width:1008;height:1008" coordorigin="13608,-209" coordsize="1008,1008" path="m14112,-209l14038,-204,13967,-188,13900,-162,13838,-128,13782,-86,13732,-36,13690,20,13655,82,13630,149,13614,220,13608,295,13614,369,13630,440,13655,507,13690,569,13732,625,13782,675,13838,718,13900,752,13967,777,14038,793,14112,799,14187,793,14258,777,14325,752,14387,718,14443,675,14493,625,14535,569,14570,507,14595,440,14611,369,14616,295,14611,220,14595,149,14570,82,14535,20,14493,-36,14443,-86,14387,-128,14325,-162,14258,-188,14187,-204,14112,-209xe" filled="true" fillcolor="#ff6621" stroked="false">
              <v:path arrowok="t"/>
              <v:fill type="solid"/>
            </v:shape>
            <v:shape style="position:absolute;left:13608;top:-210;width:1008;height:1008" type="#_x0000_t202" filled="false" stroked="false">
              <v:textbox inset="0,0,0,0">
                <w:txbxContent>
                  <w:p>
                    <w:pPr>
                      <w:spacing w:before="233"/>
                      <w:ind w:left="304" w:right="0" w:firstLine="0"/>
                      <w:jc w:val="left"/>
                      <w:rPr>
                        <w:rFonts w:ascii="Gill Sans MT"/>
                        <w:sz w:val="40"/>
                      </w:rPr>
                    </w:pPr>
                    <w:r>
                      <w:rPr>
                        <w:rFonts w:ascii="Gill Sans MT"/>
                        <w:color w:val="FFFFFF"/>
                        <w:sz w:val="40"/>
                      </w:rPr>
                      <w:t>12</w:t>
                    </w:r>
                  </w:p>
                </w:txbxContent>
              </v:textbox>
              <w10:wrap type="none"/>
            </v:shape>
            <w10:wrap type="none"/>
          </v:group>
        </w:pict>
      </w:r>
      <w:r>
        <w:rPr/>
        <w:pict>
          <v:group style="position:absolute;margin-left:680.419983pt;margin-top:50.331387pt;width:50.4pt;height:50.4pt;mso-position-horizontal-relative:page;mso-position-vertical-relative:paragraph;z-index:2848" coordorigin="13608,1007" coordsize="1008,1008">
            <v:shape style="position:absolute;left:13608;top:1006;width:1008;height:1008" coordorigin="13608,1007" coordsize="1008,1008" path="m14112,1007l14038,1012,13967,1028,13900,1053,13838,1088,13782,1130,13732,1180,13690,1236,13655,1298,13630,1365,13614,1436,13608,1511,13614,1585,13630,1656,13655,1723,13690,1785,13732,1841,13782,1891,13838,1933,13900,1968,13967,1993,14038,2009,14112,2015,14187,2009,14258,1993,14325,1968,14387,1933,14443,1891,14493,1841,14535,1785,14570,1723,14595,1656,14611,1585,14616,1511,14611,1436,14595,1365,14570,1298,14535,1236,14493,1180,14443,1130,14387,1088,14325,1053,14258,1028,14187,1012,14112,1007xe" filled="true" fillcolor="#ff6621" stroked="false">
              <v:path arrowok="t"/>
              <v:fill type="solid"/>
            </v:shape>
            <v:shape style="position:absolute;left:13608;top:1006;width:1008;height:1008" type="#_x0000_t202" filled="false" stroked="false">
              <v:textbox inset="0,0,0,0">
                <w:txbxContent>
                  <w:p>
                    <w:pPr>
                      <w:spacing w:before="232"/>
                      <w:ind w:left="304" w:right="0" w:firstLine="0"/>
                      <w:jc w:val="left"/>
                      <w:rPr>
                        <w:rFonts w:ascii="Gill Sans MT"/>
                        <w:sz w:val="40"/>
                      </w:rPr>
                    </w:pPr>
                    <w:r>
                      <w:rPr>
                        <w:rFonts w:ascii="Gill Sans MT"/>
                        <w:color w:val="FFFFFF"/>
                        <w:sz w:val="40"/>
                      </w:rPr>
                      <w:t>20</w:t>
                    </w:r>
                  </w:p>
                </w:txbxContent>
              </v:textbox>
              <w10:wrap type="none"/>
            </v:shape>
            <w10:wrap type="none"/>
          </v:group>
        </w:pict>
      </w:r>
      <w:r>
        <w:rPr>
          <w:rFonts w:ascii="Gill Sans MT"/>
          <w:sz w:val="24"/>
        </w:rPr>
        <w:t>Lobbyists</w:t>
      </w:r>
    </w:p>
    <w:p>
      <w:pPr>
        <w:pStyle w:val="BodyText"/>
        <w:rPr>
          <w:rFonts w:ascii="Gill Sans MT"/>
        </w:rPr>
      </w:pPr>
    </w:p>
    <w:p>
      <w:pPr>
        <w:pStyle w:val="BodyText"/>
        <w:rPr>
          <w:rFonts w:ascii="Gill Sans MT"/>
        </w:rPr>
      </w:pPr>
    </w:p>
    <w:p>
      <w:pPr>
        <w:pStyle w:val="BodyText"/>
        <w:spacing w:before="6"/>
        <w:rPr>
          <w:rFonts w:ascii="Gill Sans MT"/>
          <w:sz w:val="26"/>
        </w:rPr>
      </w:pPr>
      <w:r>
        <w:rPr/>
        <w:pict>
          <v:shape style="position:absolute;margin-left:557.469971pt;margin-top:16.622976pt;width:28.95pt;height:13.95pt;mso-position-horizontal-relative:page;mso-position-vertical-relative:paragraph;z-index:512;mso-wrap-distance-left:0;mso-wrap-distance-right:0" type="#_x0000_t202" filled="false" stroked="false">
            <v:textbox inset="0,0,0,0">
              <w:txbxContent>
                <w:p>
                  <w:pPr>
                    <w:spacing w:before="0"/>
                    <w:ind w:left="0" w:right="0" w:firstLine="0"/>
                    <w:jc w:val="left"/>
                    <w:rPr>
                      <w:rFonts w:ascii="Gill Sans MT"/>
                      <w:sz w:val="24"/>
                    </w:rPr>
                  </w:pPr>
                  <w:r>
                    <w:rPr>
                      <w:rFonts w:ascii="Gill Sans MT"/>
                      <w:spacing w:val="-1"/>
                      <w:sz w:val="24"/>
                    </w:rPr>
                    <w:t>Listed</w:t>
                  </w:r>
                </w:p>
              </w:txbxContent>
            </v:textbox>
            <w10:wrap type="topAndBottom"/>
          </v:shape>
        </w:pict>
      </w:r>
    </w:p>
    <w:p>
      <w:pPr>
        <w:spacing w:line="264" w:lineRule="exact" w:before="0"/>
        <w:ind w:left="10417" w:right="0" w:firstLine="0"/>
        <w:jc w:val="left"/>
        <w:rPr>
          <w:rFonts w:ascii="Gill Sans MT"/>
          <w:sz w:val="24"/>
        </w:rPr>
      </w:pPr>
      <w:r>
        <w:rPr>
          <w:rFonts w:ascii="Gill Sans MT"/>
          <w:sz w:val="24"/>
        </w:rPr>
        <w:t>Persons</w:t>
      </w:r>
    </w:p>
    <w:p>
      <w:pPr>
        <w:spacing w:after="0" w:line="264" w:lineRule="exact"/>
        <w:jc w:val="left"/>
        <w:rPr>
          <w:rFonts w:ascii="Gill Sans MT"/>
          <w:sz w:val="24"/>
        </w:rPr>
        <w:sectPr>
          <w:type w:val="continuous"/>
          <w:pgSz w:w="16840" w:h="11910" w:orient="landscape"/>
          <w:pgMar w:top="960" w:bottom="280" w:left="540" w:right="260"/>
        </w:sectPr>
      </w:pPr>
    </w:p>
    <w:p>
      <w:pPr>
        <w:spacing w:before="88"/>
        <w:ind w:left="321" w:right="0" w:firstLine="0"/>
        <w:jc w:val="left"/>
        <w:rPr>
          <w:rFonts w:ascii="Gill Sans MT"/>
          <w:sz w:val="25"/>
        </w:rPr>
      </w:pPr>
      <w:r>
        <w:rPr>
          <w:rFonts w:ascii="Gill Sans MT"/>
          <w:color w:val="2CB99D"/>
          <w:sz w:val="32"/>
        </w:rPr>
        <w:t>P</w:t>
      </w:r>
      <w:r>
        <w:rPr>
          <w:rFonts w:ascii="Gill Sans MT"/>
          <w:color w:val="2CB99D"/>
          <w:sz w:val="25"/>
        </w:rPr>
        <w:t>UBLIC </w:t>
      </w:r>
      <w:r>
        <w:rPr>
          <w:rFonts w:ascii="Gill Sans MT"/>
          <w:color w:val="2CB99D"/>
          <w:sz w:val="32"/>
        </w:rPr>
        <w:t>A</w:t>
      </w:r>
      <w:r>
        <w:rPr>
          <w:rFonts w:ascii="Gill Sans MT"/>
          <w:color w:val="2CB99D"/>
          <w:sz w:val="25"/>
        </w:rPr>
        <w:t>WARENESS </w:t>
      </w:r>
      <w:r>
        <w:rPr>
          <w:rFonts w:ascii="Gill Sans MT"/>
          <w:color w:val="2CB99D"/>
          <w:sz w:val="32"/>
        </w:rPr>
        <w:t>F</w:t>
      </w:r>
      <w:r>
        <w:rPr>
          <w:rFonts w:ascii="Gill Sans MT"/>
          <w:color w:val="2CB99D"/>
          <w:sz w:val="25"/>
        </w:rPr>
        <w:t>UNCTION</w:t>
      </w:r>
    </w:p>
    <w:p>
      <w:pPr>
        <w:pStyle w:val="BodyText"/>
        <w:spacing w:line="276" w:lineRule="auto" w:before="141"/>
        <w:ind w:left="321" w:right="12"/>
      </w:pPr>
      <w:r>
        <w:rPr/>
        <w:pict>
          <v:group style="position:absolute;margin-left:35.955002pt;margin-top:38.601505pt;width:446.45pt;height:96.15pt;mso-position-horizontal-relative:page;mso-position-vertical-relative:paragraph;z-index:2968" coordorigin="719,772" coordsize="8929,1923">
            <v:shape style="position:absolute;left:719;top:772;width:8929;height:1923" coordorigin="719,772" coordsize="8929,1923" path="m9476,772l890,772,824,785,769,822,733,876,719,943,719,2524,733,2590,769,2645,824,2681,890,2695,9476,2695,9543,2681,9597,2645,9634,2590,9647,2524,9647,943,9634,876,9597,822,9543,785,9476,772xe" filled="true" fillcolor="#ccecf9" stroked="false">
              <v:path arrowok="t"/>
              <v:fill type="solid"/>
            </v:shape>
            <v:shape style="position:absolute;left:719;top:772;width:8929;height:1923" type="#_x0000_t202" filled="false" stroked="false">
              <v:textbox inset="0,0,0,0">
                <w:txbxContent>
                  <w:p>
                    <w:pPr>
                      <w:spacing w:before="75"/>
                      <w:ind w:left="142" w:right="0" w:firstLine="0"/>
                      <w:jc w:val="left"/>
                      <w:rPr>
                        <w:rFonts w:ascii="Gill Sans MT" w:hAnsi="Gill Sans MT"/>
                        <w:sz w:val="22"/>
                      </w:rPr>
                    </w:pPr>
                    <w:r>
                      <w:rPr>
                        <w:rFonts w:ascii="Gill Sans MT" w:hAnsi="Gill Sans MT"/>
                        <w:color w:val="FF6621"/>
                        <w:sz w:val="22"/>
                      </w:rPr>
                      <w:t>A F</w:t>
                    </w:r>
                    <w:r>
                      <w:rPr>
                        <w:rFonts w:ascii="Gill Sans MT" w:hAnsi="Gill Sans MT"/>
                        <w:color w:val="FF6621"/>
                        <w:sz w:val="17"/>
                      </w:rPr>
                      <w:t>OCUS OF THE </w:t>
                    </w:r>
                    <w:r>
                      <w:rPr>
                        <w:rFonts w:ascii="Gill Sans MT" w:hAnsi="Gill Sans MT"/>
                        <w:color w:val="FF6621"/>
                        <w:sz w:val="22"/>
                      </w:rPr>
                      <w:t>I</w:t>
                    </w:r>
                    <w:r>
                      <w:rPr>
                        <w:rFonts w:ascii="Gill Sans MT" w:hAnsi="Gill Sans MT"/>
                        <w:color w:val="FF6621"/>
                        <w:sz w:val="17"/>
                      </w:rPr>
                      <w:t>NTEGRITY </w:t>
                    </w:r>
                    <w:r>
                      <w:rPr>
                        <w:rFonts w:ascii="Gill Sans MT" w:hAnsi="Gill Sans MT"/>
                        <w:color w:val="FF6621"/>
                        <w:sz w:val="22"/>
                      </w:rPr>
                      <w:t>C</w:t>
                    </w:r>
                    <w:r>
                      <w:rPr>
                        <w:rFonts w:ascii="Gill Sans MT" w:hAnsi="Gill Sans MT"/>
                        <w:color w:val="FF6621"/>
                        <w:sz w:val="17"/>
                      </w:rPr>
                      <w:t>OMMISSIONER FOR </w:t>
                    </w:r>
                    <w:r>
                      <w:rPr>
                        <w:rFonts w:ascii="Gill Sans MT" w:hAnsi="Gill Sans MT"/>
                        <w:color w:val="FF6621"/>
                        <w:sz w:val="22"/>
                      </w:rPr>
                      <w:t>2018–2019</w:t>
                    </w:r>
                  </w:p>
                  <w:p>
                    <w:pPr>
                      <w:spacing w:line="276" w:lineRule="auto" w:before="133"/>
                      <w:ind w:left="142" w:right="365" w:firstLine="0"/>
                      <w:jc w:val="left"/>
                      <w:rPr>
                        <w:sz w:val="20"/>
                      </w:rPr>
                    </w:pPr>
                    <w:r>
                      <w:rPr>
                        <w:sz w:val="20"/>
                      </w:rPr>
                      <w:t>This financial year, being the 10</w:t>
                    </w:r>
                    <w:r>
                      <w:rPr>
                        <w:sz w:val="20"/>
                        <w:vertAlign w:val="superscript"/>
                      </w:rPr>
                      <w:t>th</w:t>
                    </w:r>
                    <w:r>
                      <w:rPr>
                        <w:sz w:val="20"/>
                        <w:vertAlign w:val="baseline"/>
                      </w:rPr>
                      <w:t> anniversary year of the </w:t>
                    </w:r>
                    <w:r>
                      <w:rPr>
                        <w:i/>
                        <w:sz w:val="20"/>
                        <w:vertAlign w:val="baseline"/>
                      </w:rPr>
                      <w:t>Integrity Act 2009</w:t>
                    </w:r>
                    <w:r>
                      <w:rPr>
                        <w:sz w:val="20"/>
                        <w:vertAlign w:val="baseline"/>
                      </w:rPr>
                      <w:t>, the Integrity Commissioner set the theme of </w:t>
                    </w:r>
                    <w:r>
                      <w:rPr>
                        <w:i/>
                        <w:sz w:val="20"/>
                        <w:vertAlign w:val="baseline"/>
                      </w:rPr>
                      <w:t>’Decision-makers, Personal Interests, and Requisite Levels of Disclosure’ </w:t>
                    </w:r>
                    <w:r>
                      <w:rPr>
                        <w:sz w:val="20"/>
                        <w:vertAlign w:val="baseline"/>
                      </w:rPr>
                      <w:t>with an intent to improve awareness of the Integrity Commissioner’s role, and improve the understanding of ethics and integrity issues generally. This theme was used to guide the Integrity Commissioner’s public awareness initiatives, stakeholder engagements, and education activities during 2018–2019.</w:t>
                    </w:r>
                  </w:p>
                </w:txbxContent>
              </v:textbox>
              <w10:wrap type="none"/>
            </v:shape>
            <w10:wrap type="none"/>
          </v:group>
        </w:pict>
      </w:r>
      <w:r>
        <w:rPr/>
        <w:pict>
          <v:shape style="position:absolute;margin-left:680.969971pt;margin-top:71.958504pt;width:122.4pt;height:17.350pt;mso-position-horizontal-relative:page;mso-position-vertical-relative:paragraph;z-index:3184" type="#_x0000_t202" filled="false" stroked="true" strokeweight="1pt" strokecolor="#00a1e4">
            <v:textbox inset="0,0,0,0">
              <w:txbxContent>
                <w:p>
                  <w:pPr>
                    <w:pStyle w:val="BodyText"/>
                    <w:spacing w:before="57"/>
                    <w:ind w:left="57"/>
                  </w:pPr>
                  <w:r>
                    <w:rPr>
                      <w:b/>
                    </w:rPr>
                    <w:t>13 </w:t>
                  </w:r>
                  <w:r>
                    <w:rPr/>
                    <w:t>Departments/Agencies</w:t>
                  </w:r>
                </w:p>
              </w:txbxContent>
            </v:textbox>
            <v:stroke dashstyle="solid"/>
            <w10:wrap type="none"/>
          </v:shape>
        </w:pict>
      </w:r>
      <w:r>
        <w:rPr/>
        <w:pict>
          <v:shape style="position:absolute;margin-left:680.969971pt;margin-top:45.578506pt;width:122.4pt;height:17.350pt;mso-position-horizontal-relative:page;mso-position-vertical-relative:paragraph;z-index:3208" type="#_x0000_t202" filled="false" stroked="true" strokeweight="1pt" strokecolor="#00a1e4">
            <v:textbox inset="0,0,0,0">
              <w:txbxContent>
                <w:p>
                  <w:pPr>
                    <w:pStyle w:val="BodyText"/>
                    <w:spacing w:before="59"/>
                    <w:ind w:left="57"/>
                  </w:pPr>
                  <w:r>
                    <w:rPr>
                      <w:b/>
                    </w:rPr>
                    <w:t>4 </w:t>
                  </w:r>
                  <w:r>
                    <w:rPr/>
                    <w:t>Other Boards</w:t>
                  </w:r>
                </w:p>
              </w:txbxContent>
            </v:textbox>
            <v:stroke dashstyle="solid"/>
            <w10:wrap type="none"/>
          </v:shape>
        </w:pict>
      </w:r>
      <w:r>
        <w:rPr/>
        <w:t>Section 7(1)(d) of the </w:t>
      </w:r>
      <w:r>
        <w:rPr>
          <w:i/>
        </w:rPr>
        <w:t>Integrity Act 2009 </w:t>
      </w:r>
      <w:r>
        <w:rPr/>
        <w:t>states that it is a function of the Integrity Commissioner to raise public awareness of ethics and integrity issues by contributing to public discussion of these issues.</w:t>
      </w:r>
    </w:p>
    <w:p>
      <w:pPr>
        <w:pStyle w:val="BodyText"/>
        <w:spacing w:before="6"/>
        <w:rPr>
          <w:sz w:val="21"/>
        </w:rPr>
      </w:pPr>
      <w:r>
        <w:rPr/>
        <w:br w:type="column"/>
      </w:r>
      <w:r>
        <w:rPr>
          <w:sz w:val="21"/>
        </w:rPr>
      </w:r>
    </w:p>
    <w:p>
      <w:pPr>
        <w:spacing w:before="0"/>
        <w:ind w:left="321" w:right="0" w:firstLine="0"/>
        <w:jc w:val="left"/>
        <w:rPr>
          <w:rFonts w:ascii="Gill Sans MT"/>
          <w:sz w:val="17"/>
        </w:rPr>
      </w:pPr>
      <w:r>
        <w:rPr/>
        <w:pict>
          <v:shape style="position:absolute;margin-left:680.969971pt;margin-top:28.828165pt;width:122.4pt;height:17.350pt;mso-position-horizontal-relative:page;mso-position-vertical-relative:paragraph;z-index:3232" type="#_x0000_t202" filled="false" stroked="true" strokeweight="1pt" strokecolor="#00a1e4">
            <v:textbox inset="0,0,0,0">
              <w:txbxContent>
                <w:p>
                  <w:pPr>
                    <w:pStyle w:val="BodyText"/>
                    <w:spacing w:before="58"/>
                    <w:ind w:left="57"/>
                  </w:pPr>
                  <w:r>
                    <w:rPr>
                      <w:b/>
                    </w:rPr>
                    <w:t>4 </w:t>
                  </w:r>
                  <w:r>
                    <w:rPr/>
                    <w:t>Hospital &amp; Health Boards</w:t>
                  </w:r>
                </w:p>
              </w:txbxContent>
            </v:textbox>
            <v:stroke dashstyle="solid"/>
            <w10:wrap type="none"/>
          </v:shape>
        </w:pict>
      </w:r>
      <w:r>
        <w:rPr>
          <w:rFonts w:ascii="Gill Sans MT"/>
          <w:color w:val="FF6621"/>
          <w:w w:val="105"/>
          <w:sz w:val="22"/>
        </w:rPr>
        <w:t>I</w:t>
      </w:r>
      <w:r>
        <w:rPr>
          <w:rFonts w:ascii="Gill Sans MT"/>
          <w:color w:val="FF6621"/>
          <w:w w:val="105"/>
          <w:sz w:val="17"/>
        </w:rPr>
        <w:t>NFORMATION </w:t>
      </w:r>
      <w:r>
        <w:rPr>
          <w:rFonts w:ascii="Gill Sans MT"/>
          <w:color w:val="FF6621"/>
          <w:w w:val="105"/>
          <w:sz w:val="22"/>
        </w:rPr>
        <w:t>S</w:t>
      </w:r>
      <w:r>
        <w:rPr>
          <w:rFonts w:ascii="Gill Sans MT"/>
          <w:color w:val="FF6621"/>
          <w:w w:val="105"/>
          <w:sz w:val="17"/>
        </w:rPr>
        <w:t>ESSIONS</w:t>
      </w:r>
    </w:p>
    <w:p>
      <w:pPr>
        <w:spacing w:after="0"/>
        <w:jc w:val="left"/>
        <w:rPr>
          <w:rFonts w:ascii="Gill Sans MT"/>
          <w:sz w:val="17"/>
        </w:rPr>
        <w:sectPr>
          <w:pgSz w:w="16840" w:h="11910" w:orient="landscape"/>
          <w:pgMar w:header="0" w:footer="310" w:top="720" w:bottom="540" w:left="540" w:right="260"/>
          <w:cols w:num="2" w:equalWidth="0">
            <w:col w:w="8797" w:space="382"/>
            <w:col w:w="6861"/>
          </w:cols>
        </w:sect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spacing w:after="0"/>
        <w:rPr>
          <w:rFonts w:ascii="Gill Sans MT"/>
        </w:rPr>
        <w:sectPr>
          <w:type w:val="continuous"/>
          <w:pgSz w:w="16840" w:h="11910" w:orient="landscape"/>
          <w:pgMar w:top="960" w:bottom="280" w:left="540" w:right="260"/>
        </w:sectPr>
      </w:pPr>
    </w:p>
    <w:p>
      <w:pPr>
        <w:spacing w:before="226"/>
        <w:ind w:left="321" w:right="0" w:firstLine="0"/>
        <w:jc w:val="left"/>
        <w:rPr>
          <w:rFonts w:ascii="Gill Sans MT"/>
          <w:sz w:val="17"/>
        </w:rPr>
      </w:pPr>
      <w:r>
        <w:rPr/>
        <w:pict>
          <v:shape style="position:absolute;margin-left:680.969971pt;margin-top:-29.151812pt;width:122.4pt;height:17.350pt;mso-position-horizontal-relative:page;mso-position-vertical-relative:paragraph;z-index:3160" type="#_x0000_t202" filled="false" stroked="true" strokeweight="1pt" strokecolor="#00a1e4">
            <v:textbox inset="0,0,0,0">
              <w:txbxContent>
                <w:p>
                  <w:pPr>
                    <w:spacing w:before="59"/>
                    <w:ind w:left="57" w:right="0" w:firstLine="0"/>
                    <w:jc w:val="left"/>
                    <w:rPr>
                      <w:sz w:val="20"/>
                    </w:rPr>
                  </w:pPr>
                  <w:r>
                    <w:rPr>
                      <w:b/>
                      <w:sz w:val="20"/>
                    </w:rPr>
                    <w:t>18 </w:t>
                  </w:r>
                  <w:r>
                    <w:rPr>
                      <w:sz w:val="20"/>
                    </w:rPr>
                    <w:t>Other</w:t>
                  </w:r>
                </w:p>
              </w:txbxContent>
            </v:textbox>
            <v:stroke dashstyle="solid"/>
            <w10:wrap type="none"/>
          </v:shape>
        </w:pict>
      </w:r>
      <w:r>
        <w:rPr>
          <w:rFonts w:ascii="Gill Sans MT"/>
          <w:color w:val="FF6621"/>
          <w:w w:val="105"/>
          <w:sz w:val="22"/>
        </w:rPr>
        <w:t>D</w:t>
      </w:r>
      <w:r>
        <w:rPr>
          <w:rFonts w:ascii="Gill Sans MT"/>
          <w:color w:val="FF6621"/>
          <w:w w:val="105"/>
          <w:sz w:val="17"/>
        </w:rPr>
        <w:t>ELIVERING THE </w:t>
      </w:r>
      <w:r>
        <w:rPr>
          <w:rFonts w:ascii="Gill Sans MT"/>
          <w:color w:val="FF6621"/>
          <w:w w:val="105"/>
          <w:sz w:val="22"/>
        </w:rPr>
        <w:t>M</w:t>
      </w:r>
      <w:r>
        <w:rPr>
          <w:rFonts w:ascii="Gill Sans MT"/>
          <w:color w:val="FF6621"/>
          <w:w w:val="105"/>
          <w:sz w:val="17"/>
        </w:rPr>
        <w:t>ESSAGE ACROSS </w:t>
      </w:r>
      <w:r>
        <w:rPr>
          <w:rFonts w:ascii="Gill Sans MT"/>
          <w:color w:val="FF6621"/>
          <w:w w:val="105"/>
          <w:sz w:val="22"/>
        </w:rPr>
        <w:t>Q</w:t>
      </w:r>
      <w:r>
        <w:rPr>
          <w:rFonts w:ascii="Gill Sans MT"/>
          <w:color w:val="FF6621"/>
          <w:w w:val="105"/>
          <w:sz w:val="17"/>
        </w:rPr>
        <w:t>UEENSLAND</w:t>
      </w:r>
    </w:p>
    <w:p>
      <w:pPr>
        <w:pStyle w:val="BodyText"/>
        <w:spacing w:line="276" w:lineRule="auto" w:before="134"/>
        <w:ind w:left="321"/>
      </w:pPr>
      <w:r>
        <w:rPr/>
        <w:t>Throughout the year, the Integrity Commissioner had 185 public awareness interactions, delivering 60 information sessions to bodies such as statutory boards and local councils and participating in 125</w:t>
      </w:r>
    </w:p>
    <w:p>
      <w:pPr>
        <w:pStyle w:val="BodyText"/>
        <w:spacing w:line="276" w:lineRule="auto"/>
        <w:ind w:left="321" w:right="5"/>
      </w:pPr>
      <w:r>
        <w:rPr/>
        <w:t>committees, meetings and events. Also, the Integrity Commissioner website was enhanced with added case studies, fact sheets and guidelines. These documents are available online at:</w:t>
      </w:r>
    </w:p>
    <w:p>
      <w:pPr>
        <w:pStyle w:val="BodyText"/>
        <w:ind w:left="321"/>
      </w:pPr>
      <w:r>
        <w:rPr>
          <w:rFonts w:ascii="Times New Roman"/>
          <w:color w:val="0000FF"/>
          <w:w w:val="99"/>
          <w:u w:val="single" w:color="0000FF"/>
        </w:rPr>
        <w:t> </w:t>
      </w:r>
      <w:hyperlink r:id="rId39">
        <w:r>
          <w:rPr>
            <w:color w:val="0000FF"/>
            <w:u w:val="single" w:color="0000FF"/>
          </w:rPr>
          <w:t>www.integrity.qld.gov.au/publications/resources.aspx</w:t>
        </w:r>
        <w:r>
          <w:rPr/>
          <w:t>.</w:t>
        </w:r>
      </w:hyperlink>
    </w:p>
    <w:p>
      <w:pPr>
        <w:pStyle w:val="BodyText"/>
      </w:pPr>
      <w:r>
        <w:rPr/>
        <w:br w:type="column"/>
      </w:r>
      <w:r>
        <w:rPr/>
      </w:r>
    </w:p>
    <w:p>
      <w:pPr>
        <w:pStyle w:val="BodyText"/>
        <w:spacing w:before="7"/>
        <w:rPr>
          <w:sz w:val="16"/>
        </w:rPr>
      </w:pPr>
      <w:r>
        <w:rPr/>
        <w:pict>
          <v:shape style="position:absolute;margin-left:501.200012pt;margin-top:12.566672pt;width:302.2pt;height:17.75pt;mso-position-horizontal-relative:page;mso-position-vertical-relative:paragraph;z-index:824;mso-wrap-distance-left:0;mso-wrap-distance-right:0" type="#_x0000_t202" filled="false" stroked="true" strokeweight="1pt" strokecolor="#00a1e4">
            <v:textbox inset="0,0,0,0">
              <w:txbxContent>
                <w:p>
                  <w:pPr>
                    <w:pStyle w:val="BodyText"/>
                    <w:tabs>
                      <w:tab w:pos="1648" w:val="left" w:leader="none"/>
                      <w:tab w:pos="3911" w:val="left" w:leader="none"/>
                    </w:tabs>
                    <w:spacing w:before="59"/>
                    <w:ind w:left="57"/>
                  </w:pPr>
                  <w:r>
                    <w:rPr>
                      <w:b/>
                    </w:rPr>
                    <w:t>40</w:t>
                  </w:r>
                  <w:r>
                    <w:rPr>
                      <w:b/>
                      <w:spacing w:val="-4"/>
                    </w:rPr>
                    <w:t> </w:t>
                  </w:r>
                  <w:r>
                    <w:rPr/>
                    <w:t>Presentations</w:t>
                    <w:tab/>
                  </w:r>
                  <w:r>
                    <w:rPr>
                      <w:b/>
                    </w:rPr>
                    <w:t>15</w:t>
                  </w:r>
                  <w:r>
                    <w:rPr>
                      <w:b/>
                      <w:spacing w:val="-1"/>
                    </w:rPr>
                    <w:t> </w:t>
                  </w:r>
                  <w:r>
                    <w:rPr/>
                    <w:t>Preliminary</w:t>
                  </w:r>
                  <w:r>
                    <w:rPr>
                      <w:spacing w:val="-2"/>
                    </w:rPr>
                    <w:t> </w:t>
                  </w:r>
                  <w:r>
                    <w:rPr/>
                    <w:t>Education</w:t>
                    <w:tab/>
                  </w:r>
                  <w:r>
                    <w:rPr>
                      <w:b/>
                    </w:rPr>
                    <w:t>5 </w:t>
                  </w:r>
                  <w:r>
                    <w:rPr/>
                    <w:t>QIC Sponsored</w:t>
                  </w:r>
                  <w:r>
                    <w:rPr>
                      <w:spacing w:val="-6"/>
                    </w:rPr>
                    <w:t> </w:t>
                  </w:r>
                  <w:r>
                    <w:rPr/>
                    <w:t>Events</w:t>
                  </w:r>
                </w:p>
              </w:txbxContent>
            </v:textbox>
            <v:stroke dashstyle="shortdash"/>
            <w10:wrap type="topAndBottom"/>
          </v:shape>
        </w:pict>
      </w:r>
    </w:p>
    <w:p>
      <w:pPr>
        <w:spacing w:before="228"/>
        <w:ind w:left="321" w:right="0" w:firstLine="0"/>
        <w:jc w:val="left"/>
        <w:rPr>
          <w:rFonts w:ascii="Gill Sans MT" w:hAnsi="Gill Sans MT"/>
          <w:sz w:val="22"/>
        </w:rPr>
      </w:pPr>
      <w:r>
        <w:rPr>
          <w:rFonts w:ascii="Gill Sans MT" w:hAnsi="Gill Sans MT"/>
          <w:color w:val="FF6621"/>
          <w:sz w:val="22"/>
        </w:rPr>
        <w:t>S</w:t>
      </w:r>
      <w:r>
        <w:rPr>
          <w:rFonts w:ascii="Gill Sans MT" w:hAnsi="Gill Sans MT"/>
          <w:color w:val="FF6621"/>
          <w:sz w:val="17"/>
        </w:rPr>
        <w:t>TATEWIDE </w:t>
      </w:r>
      <w:r>
        <w:rPr>
          <w:rFonts w:ascii="Gill Sans MT" w:hAnsi="Gill Sans MT"/>
          <w:color w:val="FF6621"/>
          <w:sz w:val="22"/>
        </w:rPr>
        <w:t>T</w:t>
      </w:r>
      <w:r>
        <w:rPr>
          <w:rFonts w:ascii="Gill Sans MT" w:hAnsi="Gill Sans MT"/>
          <w:color w:val="FF6621"/>
          <w:sz w:val="17"/>
        </w:rPr>
        <w:t>OUR OF </w:t>
      </w:r>
      <w:r>
        <w:rPr>
          <w:rFonts w:ascii="Gill Sans MT" w:hAnsi="Gill Sans MT"/>
          <w:color w:val="FF6621"/>
          <w:sz w:val="22"/>
        </w:rPr>
        <w:t>C</w:t>
      </w:r>
      <w:r>
        <w:rPr>
          <w:rFonts w:ascii="Gill Sans MT" w:hAnsi="Gill Sans MT"/>
          <w:color w:val="FF6621"/>
          <w:sz w:val="17"/>
        </w:rPr>
        <w:t>OUNCILS </w:t>
      </w:r>
      <w:r>
        <w:rPr>
          <w:rFonts w:ascii="Gill Sans MT" w:hAnsi="Gill Sans MT"/>
          <w:color w:val="FF6621"/>
          <w:sz w:val="22"/>
        </w:rPr>
        <w:t>2017–2019</w:t>
      </w:r>
    </w:p>
    <w:p>
      <w:pPr>
        <w:spacing w:after="0"/>
        <w:jc w:val="left"/>
        <w:rPr>
          <w:rFonts w:ascii="Gill Sans MT" w:hAnsi="Gill Sans MT"/>
          <w:sz w:val="22"/>
        </w:rPr>
        <w:sectPr>
          <w:type w:val="continuous"/>
          <w:pgSz w:w="16840" w:h="11910" w:orient="landscape"/>
          <w:pgMar w:top="960" w:bottom="280" w:left="540" w:right="260"/>
          <w:cols w:num="2" w:equalWidth="0">
            <w:col w:w="8693" w:space="486"/>
            <w:col w:w="6861"/>
          </w:cols>
        </w:sectPr>
      </w:pPr>
    </w:p>
    <w:p>
      <w:pPr>
        <w:pStyle w:val="BodyText"/>
        <w:spacing w:before="1"/>
        <w:rPr>
          <w:rFonts w:ascii="Gill Sans MT"/>
          <w:sz w:val="11"/>
        </w:rPr>
      </w:pPr>
      <w:r>
        <w:rPr/>
        <w:pict>
          <v:group style="position:absolute;margin-left:502.119995pt;margin-top:60.170006pt;width:173.35pt;height:144.75pt;mso-position-horizontal-relative:page;mso-position-vertical-relative:page;z-index:-32800" coordorigin="10042,1203" coordsize="3467,2895">
            <v:shape style="position:absolute;left:10042;top:1505;width:2594;height:2592" coordorigin="10042,1506" coordsize="2594,2592" path="m11339,1506l11263,1508,11188,1514,11114,1525,11042,1540,10971,1559,10902,1581,10835,1607,10769,1637,10705,1671,10644,1707,10585,1747,10528,1790,10474,1836,10422,1885,10373,1937,10327,1991,10284,2048,10244,2107,10208,2168,10174,2232,10144,2297,10118,2364,10095,2434,10077,2504,10062,2577,10051,2650,10045,2725,10042,2802,10045,2878,10051,2953,10062,3026,10077,3099,10095,3170,10118,3239,10144,3306,10174,3372,10208,3435,10244,3496,10284,3555,10327,3612,10373,3666,10422,3718,10474,3767,10528,3813,10585,3856,10644,3896,10705,3933,10769,3966,10835,3996,10902,4022,10971,4045,11042,4063,11114,4078,11188,4089,11263,4095,11339,4098,11416,4095,11491,4089,11564,4078,11637,4063,11708,4045,11777,4022,11844,3996,11910,3966,11973,3933,12035,3896,12094,3856,12151,3813,12205,3767,12256,3718,12305,3666,12351,3612,12394,3555,12434,3496,12471,3435,12505,3372,12534,3306,12561,3239,12583,3170,12602,3099,12617,3026,12628,2953,12634,2878,12636,2802,12634,2725,12628,2650,12617,2577,12602,2504,12583,2434,12561,2364,12534,2297,12505,2232,12471,2168,12434,2107,12394,2048,12351,1991,12305,1937,12256,1885,12205,1836,12151,1790,12094,1747,12035,1707,11973,1671,11910,1637,11844,1607,11777,1581,11708,1559,11637,1540,11564,1525,11491,1514,11416,1508,11339,1506xe" filled="true" fillcolor="#00a1e4" stroked="false">
              <v:path arrowok="t"/>
              <v:fill type="solid"/>
            </v:shape>
            <v:line style="position:absolute" from="12072,2795" to="13499,1213" stroked="true" strokeweight="1pt" strokecolor="#00a1e4">
              <v:stroke dashstyle="solid"/>
            </v:line>
            <v:line style="position:absolute" from="12100,2815" to="13499,1745" stroked="true" strokeweight="1pt" strokecolor="#00a1e4">
              <v:stroke dashstyle="solid"/>
            </v:line>
            <v:line style="position:absolute" from="12033,2810" to="13499,2277" stroked="true" strokeweight="1pt" strokecolor="#00a1e4">
              <v:stroke dashstyle="solid"/>
            </v:line>
            <v:line style="position:absolute" from="12086,2789" to="13499,2805" stroked="true" strokeweight="1pt" strokecolor="#00a1e4">
              <v:stroke dashstyle="solid"/>
            </v:line>
            <v:line style="position:absolute" from="12075,2766" to="13499,3341" stroked="true" strokeweight="1.0pt" strokecolor="#00a1e4">
              <v:stroke dashstyle="solid"/>
            </v:line>
            <v:shape style="position:absolute;left:10573;top:1877;width:980;height:1114" type="#_x0000_t202" filled="false" stroked="false">
              <v:textbox inset="0,0,0,0">
                <w:txbxContent>
                  <w:p>
                    <w:pPr>
                      <w:spacing w:before="0"/>
                      <w:ind w:left="0" w:right="0" w:firstLine="0"/>
                      <w:jc w:val="left"/>
                      <w:rPr>
                        <w:rFonts w:ascii="Gill Sans MT"/>
                        <w:sz w:val="96"/>
                      </w:rPr>
                    </w:pPr>
                    <w:r>
                      <w:rPr>
                        <w:rFonts w:ascii="Gill Sans MT"/>
                        <w:color w:val="FFFFFF"/>
                        <w:sz w:val="96"/>
                      </w:rPr>
                      <w:t>60</w:t>
                    </w:r>
                  </w:p>
                </w:txbxContent>
              </v:textbox>
              <w10:wrap type="none"/>
            </v:shape>
            <v:shape style="position:absolute;left:10799;top:2870;width:1701;height:687" type="#_x0000_t202" filled="false" stroked="false">
              <v:textbox inset="0,0,0,0">
                <w:txbxContent>
                  <w:p>
                    <w:pPr>
                      <w:spacing w:line="203" w:lineRule="exact" w:before="0"/>
                      <w:ind w:left="0" w:right="0" w:firstLine="0"/>
                      <w:jc w:val="left"/>
                      <w:rPr>
                        <w:sz w:val="20"/>
                      </w:rPr>
                    </w:pPr>
                    <w:r>
                      <w:rPr>
                        <w:color w:val="FFFFFF"/>
                        <w:sz w:val="20"/>
                      </w:rPr>
                      <w:t>Information sessions</w:t>
                    </w:r>
                  </w:p>
                  <w:p>
                    <w:pPr>
                      <w:spacing w:before="0"/>
                      <w:ind w:left="0" w:right="325" w:firstLine="0"/>
                      <w:jc w:val="left"/>
                      <w:rPr>
                        <w:sz w:val="20"/>
                      </w:rPr>
                    </w:pPr>
                    <w:r>
                      <w:rPr>
                        <w:color w:val="FFFFFF"/>
                        <w:sz w:val="20"/>
                      </w:rPr>
                      <w:t>about ethics and integrity</w:t>
                    </w:r>
                  </w:p>
                </w:txbxContent>
              </v:textbox>
              <w10:wrap type="none"/>
            </v:shape>
            <w10:wrap type="none"/>
          </v:group>
        </w:pict>
      </w:r>
      <w:r>
        <w:rPr/>
        <w:pict>
          <v:shape style="position:absolute;margin-left:680.969971pt;margin-top:51.677006pt;width:122.4pt;height:17.350pt;mso-position-horizontal-relative:page;mso-position-vertical-relative:page;z-index:3256" type="#_x0000_t202" filled="false" stroked="true" strokeweight="1pt" strokecolor="#00a1e4">
            <v:textbox inset="0,0,0,0">
              <w:txbxContent>
                <w:p>
                  <w:pPr>
                    <w:pStyle w:val="BodyText"/>
                    <w:spacing w:before="57"/>
                    <w:ind w:left="57"/>
                  </w:pPr>
                  <w:r>
                    <w:rPr>
                      <w:b/>
                    </w:rPr>
                    <w:t>21 </w:t>
                  </w:r>
                  <w:r>
                    <w:rPr/>
                    <w:t>Local Government</w:t>
                  </w:r>
                </w:p>
              </w:txbxContent>
            </v:textbox>
            <v:stroke dashstyle="solid"/>
            <w10:wrap type="none"/>
          </v:shape>
        </w:pict>
      </w:r>
    </w:p>
    <w:p>
      <w:pPr>
        <w:pStyle w:val="BodyText"/>
        <w:ind w:left="179"/>
        <w:rPr>
          <w:rFonts w:ascii="Gill Sans MT"/>
        </w:rPr>
      </w:pPr>
      <w:r>
        <w:rPr>
          <w:rFonts w:ascii="Gill Sans MT"/>
        </w:rPr>
        <w:pict>
          <v:group style="width:446.45pt;height:129.5500pt;mso-position-horizontal-relative:char;mso-position-vertical-relative:line" coordorigin="0,0" coordsize="8929,2591">
            <v:shape style="position:absolute;left:0;top:0;width:8929;height:2591" coordorigin="0,0" coordsize="8929,2591" path="m8698,0l230,0,158,12,94,44,44,94,12,158,0,230,0,2360,12,2433,44,2496,94,2546,158,2578,230,2590,8698,2590,8771,2578,8834,2546,8884,2496,8916,2433,8928,2360,8928,230,8916,158,8884,94,8834,44,8771,12,8698,0xe" filled="true" fillcolor="#ccecf9" stroked="false">
              <v:path arrowok="t"/>
              <v:fill type="solid"/>
            </v:shape>
            <v:shape style="position:absolute;left:0;top:0;width:8929;height:2591" type="#_x0000_t202" filled="false" stroked="false">
              <v:textbox inset="0,0,0,0">
                <w:txbxContent>
                  <w:p>
                    <w:pPr>
                      <w:spacing w:before="52"/>
                      <w:ind w:left="142" w:right="0" w:firstLine="0"/>
                      <w:jc w:val="left"/>
                      <w:rPr>
                        <w:rFonts w:ascii="Gill Sans MT"/>
                        <w:sz w:val="17"/>
                      </w:rPr>
                    </w:pPr>
                    <w:r>
                      <w:rPr>
                        <w:rFonts w:ascii="Gill Sans MT"/>
                        <w:color w:val="FF6621"/>
                        <w:w w:val="105"/>
                        <w:sz w:val="22"/>
                      </w:rPr>
                      <w:t>G</w:t>
                    </w:r>
                    <w:r>
                      <w:rPr>
                        <w:rFonts w:ascii="Gill Sans MT"/>
                        <w:color w:val="FF6621"/>
                        <w:w w:val="105"/>
                        <w:sz w:val="17"/>
                      </w:rPr>
                      <w:t>UIDANCE </w:t>
                    </w:r>
                    <w:r>
                      <w:rPr>
                        <w:rFonts w:ascii="Gill Sans MT"/>
                        <w:color w:val="FF6621"/>
                        <w:w w:val="105"/>
                        <w:sz w:val="22"/>
                      </w:rPr>
                      <w:t>M</w:t>
                    </w:r>
                    <w:r>
                      <w:rPr>
                        <w:rFonts w:ascii="Gill Sans MT"/>
                        <w:color w:val="FF6621"/>
                        <w:w w:val="105"/>
                        <w:sz w:val="17"/>
                      </w:rPr>
                      <w:t>ATERIALS AND </w:t>
                    </w:r>
                    <w:r>
                      <w:rPr>
                        <w:rFonts w:ascii="Gill Sans MT"/>
                        <w:color w:val="FF6621"/>
                        <w:w w:val="105"/>
                        <w:sz w:val="22"/>
                      </w:rPr>
                      <w:t>S</w:t>
                    </w:r>
                    <w:r>
                      <w:rPr>
                        <w:rFonts w:ascii="Gill Sans MT"/>
                        <w:color w:val="FF6621"/>
                        <w:w w:val="105"/>
                        <w:sz w:val="17"/>
                      </w:rPr>
                      <w:t>TATEWIDE </w:t>
                    </w:r>
                    <w:r>
                      <w:rPr>
                        <w:rFonts w:ascii="Gill Sans MT"/>
                        <w:color w:val="FF6621"/>
                        <w:w w:val="105"/>
                        <w:sz w:val="22"/>
                      </w:rPr>
                      <w:t>A</w:t>
                    </w:r>
                    <w:r>
                      <w:rPr>
                        <w:rFonts w:ascii="Gill Sans MT"/>
                        <w:color w:val="FF6621"/>
                        <w:w w:val="105"/>
                        <w:sz w:val="17"/>
                      </w:rPr>
                      <w:t>WARENESS </w:t>
                    </w:r>
                    <w:r>
                      <w:rPr>
                        <w:rFonts w:ascii="Gill Sans MT"/>
                        <w:color w:val="FF6621"/>
                        <w:w w:val="105"/>
                        <w:sz w:val="22"/>
                      </w:rPr>
                      <w:t>T</w:t>
                    </w:r>
                    <w:r>
                      <w:rPr>
                        <w:rFonts w:ascii="Gill Sans MT"/>
                        <w:color w:val="FF6621"/>
                        <w:w w:val="105"/>
                        <w:sz w:val="17"/>
                      </w:rPr>
                      <w:t>OUR</w:t>
                    </w:r>
                  </w:p>
                  <w:p>
                    <w:pPr>
                      <w:spacing w:before="133"/>
                      <w:ind w:left="142" w:right="0" w:firstLine="0"/>
                      <w:jc w:val="left"/>
                      <w:rPr>
                        <w:sz w:val="20"/>
                      </w:rPr>
                    </w:pPr>
                    <w:r>
                      <w:rPr>
                        <w:sz w:val="20"/>
                      </w:rPr>
                      <w:t>The Integrity Commissioner also developed a guide and a series of meeting aids, in conjunction with the Independent Assessor, to assist Councillors in determining when a conflict of interest or material</w:t>
                    </w:r>
                  </w:p>
                  <w:p>
                    <w:pPr>
                      <w:spacing w:before="2"/>
                      <w:ind w:left="142" w:right="0" w:firstLine="0"/>
                      <w:jc w:val="left"/>
                      <w:rPr>
                        <w:sz w:val="20"/>
                      </w:rPr>
                    </w:pPr>
                    <w:r>
                      <w:rPr>
                        <w:sz w:val="20"/>
                      </w:rPr>
                      <w:t>personal interest exists. These documents are also available online at:</w:t>
                    </w:r>
                  </w:p>
                  <w:p>
                    <w:pPr>
                      <w:spacing w:before="0"/>
                      <w:ind w:left="142" w:right="0" w:firstLine="0"/>
                      <w:jc w:val="left"/>
                      <w:rPr>
                        <w:sz w:val="20"/>
                      </w:rPr>
                    </w:pPr>
                    <w:r>
                      <w:rPr>
                        <w:rFonts w:ascii="Times New Roman"/>
                        <w:color w:val="0000FF"/>
                        <w:w w:val="99"/>
                        <w:sz w:val="20"/>
                        <w:u w:val="single" w:color="0000FF"/>
                      </w:rPr>
                      <w:t> </w:t>
                    </w:r>
                    <w:hyperlink r:id="rId39">
                      <w:r>
                        <w:rPr>
                          <w:color w:val="0000FF"/>
                          <w:sz w:val="20"/>
                          <w:u w:val="single" w:color="0000FF"/>
                        </w:rPr>
                        <w:t>www.integrity.qld.gov.au/publications/resources.aspx</w:t>
                      </w:r>
                      <w:r>
                        <w:rPr>
                          <w:sz w:val="20"/>
                        </w:rPr>
                        <w:t>.</w:t>
                      </w:r>
                    </w:hyperlink>
                  </w:p>
                  <w:p>
                    <w:pPr>
                      <w:spacing w:before="119"/>
                      <w:ind w:left="142" w:right="0" w:firstLine="0"/>
                      <w:jc w:val="left"/>
                      <w:rPr>
                        <w:sz w:val="20"/>
                      </w:rPr>
                    </w:pPr>
                    <w:r>
                      <w:rPr>
                        <w:sz w:val="20"/>
                      </w:rPr>
                      <w:t>In addition, the Integrity Commissioner and her team met with local government on 17 occasions.</w:t>
                    </w:r>
                  </w:p>
                  <w:p>
                    <w:pPr>
                      <w:spacing w:before="0"/>
                      <w:ind w:left="142" w:right="0" w:firstLine="0"/>
                      <w:jc w:val="left"/>
                      <w:rPr>
                        <w:sz w:val="20"/>
                      </w:rPr>
                    </w:pPr>
                    <w:r>
                      <w:rPr>
                        <w:sz w:val="20"/>
                      </w:rPr>
                      <w:t>Travelling to 12 different Councils throughout the year, the Integrity Commissioner was able to discuss ethics and integrity issues with 51 of 77 councils throughout Queensland, presenting either locally at the region or through local government collaboration forums such as Regional Organisations of Councils.</w:t>
                    </w:r>
                  </w:p>
                </w:txbxContent>
              </v:textbox>
              <w10:wrap type="none"/>
            </v:shape>
          </v:group>
        </w:pict>
      </w:r>
      <w:r>
        <w:rPr>
          <w:rFonts w:ascii="Gill Sans MT"/>
        </w:rPr>
      </w:r>
    </w:p>
    <w:p>
      <w:pPr>
        <w:spacing w:before="39"/>
        <w:ind w:left="321" w:right="0" w:firstLine="0"/>
        <w:jc w:val="left"/>
        <w:rPr>
          <w:rFonts w:ascii="Gill Sans MT"/>
          <w:sz w:val="17"/>
        </w:rPr>
      </w:pPr>
      <w:r>
        <w:rPr/>
        <w:pict>
          <v:group style="position:absolute;margin-left:494.859985pt;margin-top:-164.323807pt;width:307.7pt;height:299.8pt;mso-position-horizontal-relative:page;mso-position-vertical-relative:paragraph;z-index:3136" coordorigin="9897,-3286" coordsize="6154,5996">
            <v:shape style="position:absolute;left:9897;top:-3287;width:5082;height:5996" type="#_x0000_t75" stroked="false">
              <v:imagedata r:id="rId40" o:title=""/>
            </v:shape>
            <v:shape style="position:absolute;left:13746;top:-1847;width:2304;height:155" coordorigin="13747,-1847" coordsize="2304,155" path="m16039,-1847l13758,-1847,13747,-1835,13747,-1703,13758,-1692,16039,-1692,16051,-1703,16051,-1835,16039,-1847xe" filled="true" fillcolor="#2cb99d" stroked="false">
              <v:path arrowok="t"/>
              <v:fill type="solid"/>
            </v:shape>
            <v:shape style="position:absolute;left:13746;top:-3212;width:2304;height:155" coordorigin="13747,-3211" coordsize="2304,155" path="m16039,-3211l13758,-3211,13747,-3200,13747,-3068,13758,-3056,16039,-3056,16051,-3068,16051,-3200,16039,-3211xe" filled="true" fillcolor="#00a1e4" stroked="false">
              <v:path arrowok="t"/>
              <v:fill type="solid"/>
            </v:shape>
            <v:shape style="position:absolute;left:13755;top:-482;width:2286;height:190" coordorigin="13756,-482" coordsize="2286,190" path="m16010,-482l13787,-482,13775,-479,13765,-473,13758,-463,13756,-450,13756,-324,13758,-311,13765,-301,13775,-295,13787,-292,16010,-292,16022,-295,16032,-301,16039,-311,16042,-324,16042,-450,16039,-463,16032,-473,16022,-479,16010,-482xe" filled="true" fillcolor="#ff6621" stroked="false">
              <v:path arrowok="t"/>
              <v:fill type="solid"/>
            </v:shape>
            <v:shape style="position:absolute;left:13847;top:-2927;width:2120;height:932" type="#_x0000_t202" filled="false" stroked="false">
              <v:textbox inset="0,0,0,0">
                <w:txbxContent>
                  <w:p>
                    <w:pPr>
                      <w:spacing w:line="203" w:lineRule="exact" w:before="0"/>
                      <w:ind w:left="292" w:right="0" w:firstLine="0"/>
                      <w:jc w:val="left"/>
                      <w:rPr>
                        <w:sz w:val="20"/>
                      </w:rPr>
                    </w:pPr>
                    <w:r>
                      <w:rPr>
                        <w:sz w:val="20"/>
                      </w:rPr>
                      <w:t>Councils </w:t>
                    </w:r>
                    <w:r>
                      <w:rPr>
                        <w:b/>
                        <w:sz w:val="20"/>
                      </w:rPr>
                      <w:t>visited </w:t>
                    </w:r>
                    <w:r>
                      <w:rPr>
                        <w:sz w:val="20"/>
                      </w:rPr>
                      <w:t>by</w:t>
                    </w:r>
                  </w:p>
                  <w:p>
                    <w:pPr>
                      <w:spacing w:before="0"/>
                      <w:ind w:left="0" w:right="-8" w:firstLine="547"/>
                      <w:jc w:val="left"/>
                      <w:rPr>
                        <w:sz w:val="20"/>
                      </w:rPr>
                    </w:pPr>
                    <w:r>
                      <w:rPr>
                        <w:sz w:val="20"/>
                      </w:rPr>
                      <w:t>the Integrity Commissioner or her staff</w:t>
                    </w:r>
                  </w:p>
                  <w:p>
                    <w:pPr>
                      <w:spacing w:line="240" w:lineRule="exact" w:before="0"/>
                      <w:ind w:left="496" w:right="0" w:firstLine="0"/>
                      <w:jc w:val="left"/>
                      <w:rPr>
                        <w:sz w:val="20"/>
                      </w:rPr>
                    </w:pPr>
                    <w:r>
                      <w:rPr>
                        <w:sz w:val="20"/>
                      </w:rPr>
                      <w:t>in 2018–2019</w:t>
                    </w:r>
                  </w:p>
                </w:txbxContent>
              </v:textbox>
              <w10:wrap type="none"/>
            </v:shape>
            <v:shape style="position:absolute;left:13847;top:-1561;width:2120;height:932" type="#_x0000_t202" filled="false" stroked="false">
              <v:textbox inset="0,0,0,0">
                <w:txbxContent>
                  <w:p>
                    <w:pPr>
                      <w:spacing w:line="202" w:lineRule="exact" w:before="0"/>
                      <w:ind w:left="35" w:right="0" w:firstLine="0"/>
                      <w:jc w:val="left"/>
                      <w:rPr>
                        <w:sz w:val="20"/>
                      </w:rPr>
                    </w:pPr>
                    <w:r>
                      <w:rPr>
                        <w:sz w:val="20"/>
                      </w:rPr>
                      <w:t>Councils </w:t>
                    </w:r>
                    <w:r>
                      <w:rPr>
                        <w:b/>
                        <w:sz w:val="20"/>
                      </w:rPr>
                      <w:t>presented </w:t>
                    </w:r>
                    <w:r>
                      <w:rPr>
                        <w:sz w:val="20"/>
                      </w:rPr>
                      <w:t>to</w:t>
                    </w:r>
                    <w:r>
                      <w:rPr>
                        <w:spacing w:val="-8"/>
                        <w:sz w:val="20"/>
                      </w:rPr>
                      <w:t> </w:t>
                    </w:r>
                    <w:r>
                      <w:rPr>
                        <w:sz w:val="20"/>
                      </w:rPr>
                      <w:t>by</w:t>
                    </w:r>
                  </w:p>
                  <w:p>
                    <w:pPr>
                      <w:spacing w:before="0"/>
                      <w:ind w:left="0" w:right="10" w:firstLine="547"/>
                      <w:jc w:val="left"/>
                      <w:rPr>
                        <w:sz w:val="20"/>
                      </w:rPr>
                    </w:pPr>
                    <w:r>
                      <w:rPr>
                        <w:sz w:val="20"/>
                      </w:rPr>
                      <w:t>the Integrity Commissioner or her</w:t>
                    </w:r>
                    <w:r>
                      <w:rPr>
                        <w:spacing w:val="-18"/>
                        <w:sz w:val="20"/>
                      </w:rPr>
                      <w:t> </w:t>
                    </w:r>
                    <w:r>
                      <w:rPr>
                        <w:sz w:val="20"/>
                      </w:rPr>
                      <w:t>staff</w:t>
                    </w:r>
                  </w:p>
                  <w:p>
                    <w:pPr>
                      <w:spacing w:line="240" w:lineRule="exact" w:before="0"/>
                      <w:ind w:left="496" w:right="0" w:firstLine="0"/>
                      <w:jc w:val="left"/>
                      <w:rPr>
                        <w:sz w:val="20"/>
                      </w:rPr>
                    </w:pPr>
                    <w:r>
                      <w:rPr>
                        <w:sz w:val="20"/>
                      </w:rPr>
                      <w:t>in 2018–2019</w:t>
                    </w:r>
                  </w:p>
                </w:txbxContent>
              </v:textbox>
              <w10:wrap type="none"/>
            </v:shape>
            <v:shape style="position:absolute;left:13842;top:-134;width:2131;height:687" type="#_x0000_t202" filled="false" stroked="false">
              <v:textbox inset="0,0,0,0">
                <w:txbxContent>
                  <w:p>
                    <w:pPr>
                      <w:spacing w:line="203" w:lineRule="exact" w:before="0"/>
                      <w:ind w:left="79" w:right="0" w:firstLine="0"/>
                      <w:jc w:val="left"/>
                      <w:rPr>
                        <w:sz w:val="20"/>
                      </w:rPr>
                    </w:pPr>
                    <w:r>
                      <w:rPr>
                        <w:sz w:val="20"/>
                      </w:rPr>
                      <w:t>Councils </w:t>
                    </w:r>
                    <w:r>
                      <w:rPr>
                        <w:b/>
                        <w:sz w:val="20"/>
                      </w:rPr>
                      <w:t>reached </w:t>
                    </w:r>
                    <w:r>
                      <w:rPr>
                        <w:sz w:val="20"/>
                      </w:rPr>
                      <w:t>by the</w:t>
                    </w:r>
                  </w:p>
                  <w:p>
                    <w:pPr>
                      <w:spacing w:before="0"/>
                      <w:ind w:left="141" w:right="-3" w:hanging="142"/>
                      <w:jc w:val="left"/>
                      <w:rPr>
                        <w:sz w:val="20"/>
                      </w:rPr>
                    </w:pPr>
                    <w:r>
                      <w:rPr>
                        <w:sz w:val="20"/>
                      </w:rPr>
                      <w:t>Integrity Commissioner or her staff in 2017–2018</w:t>
                    </w:r>
                  </w:p>
                </w:txbxContent>
              </v:textbox>
              <w10:wrap type="none"/>
            </v:shape>
            <w10:wrap type="none"/>
          </v:group>
        </w:pict>
      </w:r>
      <w:r>
        <w:rPr>
          <w:rFonts w:ascii="Gill Sans MT"/>
          <w:color w:val="FF6621"/>
          <w:w w:val="105"/>
          <w:sz w:val="22"/>
        </w:rPr>
        <w:t>R</w:t>
      </w:r>
      <w:r>
        <w:rPr>
          <w:rFonts w:ascii="Gill Sans MT"/>
          <w:color w:val="FF6621"/>
          <w:w w:val="105"/>
          <w:sz w:val="17"/>
        </w:rPr>
        <w:t>ESEARCH</w:t>
      </w:r>
    </w:p>
    <w:p>
      <w:pPr>
        <w:pStyle w:val="BodyText"/>
        <w:spacing w:line="276" w:lineRule="auto" w:before="133"/>
        <w:ind w:left="321" w:right="7276"/>
      </w:pPr>
      <w:r>
        <w:rPr/>
        <w:t>During 2018–2019, the Integrity Commissioner has been undertaking research into the obligations of persons on multi-member decision-making bodies (such as boards of Government-owned corporations) to identify, disclose, and manage their personal interests. From this, the Integrity Commissioner is finalising a comprehensive research paper, a step-by-step guide for multi-member decision-making</w:t>
      </w:r>
    </w:p>
    <w:p>
      <w:pPr>
        <w:pStyle w:val="BodyText"/>
        <w:spacing w:line="276" w:lineRule="auto"/>
        <w:ind w:left="321" w:right="7227"/>
      </w:pPr>
      <w:r>
        <w:rPr/>
        <w:t>bodies and a series of meeting aids for members, including an easy-to-use flowchart. The purpose of the guidance framework is to provide assistance to these bodies and their members with their obligations. The Integrity Commissioner intends to publish these materials in 2019–2020.</w:t>
      </w:r>
    </w:p>
    <w:p>
      <w:pPr>
        <w:spacing w:after="0" w:line="276" w:lineRule="auto"/>
        <w:sectPr>
          <w:type w:val="continuous"/>
          <w:pgSz w:w="16840" w:h="11910" w:orient="landscape"/>
          <w:pgMar w:top="960" w:bottom="280" w:left="540" w:right="260"/>
        </w:sectPr>
      </w:pPr>
    </w:p>
    <w:p>
      <w:pPr>
        <w:pStyle w:val="Heading2"/>
        <w:spacing w:before="152"/>
      </w:pPr>
      <w:r>
        <w:rPr/>
        <w:pict>
          <v:group style="position:absolute;margin-left:35.956001pt;margin-top:29.397188pt;width:343.8pt;height:203.95pt;mso-position-horizontal-relative:page;mso-position-vertical-relative:paragraph;z-index:1256;mso-wrap-distance-left:0;mso-wrap-distance-right:0" coordorigin="719,588" coordsize="6876,4079">
            <v:shape style="position:absolute;left:719;top:587;width:6876;height:4079" coordorigin="719,588" coordsize="6876,4079" path="m7232,588l1082,588,1009,595,941,616,879,650,825,694,781,748,748,810,726,878,719,951,719,4304,726,4377,748,4445,781,4507,825,4561,879,4605,941,4638,1009,4660,1082,4667,7232,4667,7305,4660,7373,4638,7434,4605,7488,4561,7532,4507,7566,4445,7587,4377,7594,4304,7594,951,7587,878,7566,810,7532,748,7488,694,7434,650,7373,616,7305,595,7232,588xe" filled="true" fillcolor="#d9d9d9" stroked="false">
              <v:path arrowok="t"/>
              <v:fill type="solid"/>
            </v:shape>
            <v:shape style="position:absolute;left:719;top:587;width:6876;height:4079" type="#_x0000_t202" filled="false" stroked="false">
              <v:textbox inset="0,0,0,0">
                <w:txbxContent>
                  <w:p>
                    <w:pPr>
                      <w:spacing w:before="228"/>
                      <w:ind w:left="142" w:right="0" w:firstLine="0"/>
                      <w:jc w:val="left"/>
                      <w:rPr>
                        <w:rFonts w:ascii="Gill Sans MT"/>
                        <w:sz w:val="17"/>
                      </w:rPr>
                    </w:pPr>
                    <w:r>
                      <w:rPr>
                        <w:rFonts w:ascii="Gill Sans MT"/>
                        <w:color w:val="FF6621"/>
                        <w:w w:val="105"/>
                        <w:sz w:val="22"/>
                      </w:rPr>
                      <w:t>D</w:t>
                    </w:r>
                    <w:r>
                      <w:rPr>
                        <w:rFonts w:ascii="Gill Sans MT"/>
                        <w:color w:val="FF6621"/>
                        <w:w w:val="105"/>
                        <w:sz w:val="17"/>
                      </w:rPr>
                      <w:t>ECLARATIONS OF </w:t>
                    </w:r>
                    <w:r>
                      <w:rPr>
                        <w:rFonts w:ascii="Gill Sans MT"/>
                        <w:color w:val="FF6621"/>
                        <w:w w:val="105"/>
                        <w:sz w:val="22"/>
                      </w:rPr>
                      <w:t>I</w:t>
                    </w:r>
                    <w:r>
                      <w:rPr>
                        <w:rFonts w:ascii="Gill Sans MT"/>
                        <w:color w:val="FF6621"/>
                        <w:w w:val="105"/>
                        <w:sz w:val="17"/>
                      </w:rPr>
                      <w:t>NTERESTS</w:t>
                    </w:r>
                  </w:p>
                  <w:p>
                    <w:pPr>
                      <w:spacing w:line="276" w:lineRule="auto" w:before="133"/>
                      <w:ind w:left="142" w:right="118" w:firstLine="0"/>
                      <w:jc w:val="left"/>
                      <w:rPr>
                        <w:sz w:val="20"/>
                      </w:rPr>
                    </w:pPr>
                    <w:r>
                      <w:rPr>
                        <w:sz w:val="20"/>
                      </w:rPr>
                      <w:t>Section 72C of the </w:t>
                    </w:r>
                    <w:r>
                      <w:rPr>
                        <w:i/>
                        <w:sz w:val="20"/>
                      </w:rPr>
                      <w:t>Integrity Act 2009 </w:t>
                    </w:r>
                    <w:r>
                      <w:rPr>
                        <w:sz w:val="20"/>
                      </w:rPr>
                      <w:t>provides that various statutory office holders</w:t>
                    </w:r>
                    <w:r>
                      <w:rPr>
                        <w:spacing w:val="-5"/>
                        <w:sz w:val="20"/>
                      </w:rPr>
                      <w:t> </w:t>
                    </w:r>
                    <w:r>
                      <w:rPr>
                        <w:sz w:val="20"/>
                      </w:rPr>
                      <w:t>must</w:t>
                    </w:r>
                    <w:r>
                      <w:rPr>
                        <w:spacing w:val="-3"/>
                        <w:sz w:val="20"/>
                      </w:rPr>
                      <w:t> </w:t>
                    </w:r>
                    <w:r>
                      <w:rPr>
                        <w:sz w:val="20"/>
                      </w:rPr>
                      <w:t>provide</w:t>
                    </w:r>
                    <w:r>
                      <w:rPr>
                        <w:spacing w:val="-3"/>
                        <w:sz w:val="20"/>
                      </w:rPr>
                      <w:t> </w:t>
                    </w:r>
                    <w:r>
                      <w:rPr>
                        <w:sz w:val="20"/>
                      </w:rPr>
                      <w:t>a</w:t>
                    </w:r>
                    <w:r>
                      <w:rPr>
                        <w:spacing w:val="-3"/>
                        <w:sz w:val="20"/>
                      </w:rPr>
                      <w:t> </w:t>
                    </w:r>
                    <w:r>
                      <w:rPr>
                        <w:sz w:val="20"/>
                      </w:rPr>
                      <w:t>copy</w:t>
                    </w:r>
                    <w:r>
                      <w:rPr>
                        <w:spacing w:val="-2"/>
                        <w:sz w:val="20"/>
                      </w:rPr>
                      <w:t> </w:t>
                    </w:r>
                    <w:r>
                      <w:rPr>
                        <w:sz w:val="20"/>
                      </w:rPr>
                      <w:t>of</w:t>
                    </w:r>
                    <w:r>
                      <w:rPr>
                        <w:spacing w:val="-5"/>
                        <w:sz w:val="20"/>
                      </w:rPr>
                      <w:t> </w:t>
                    </w:r>
                    <w:r>
                      <w:rPr>
                        <w:sz w:val="20"/>
                      </w:rPr>
                      <w:t>their</w:t>
                    </w:r>
                    <w:r>
                      <w:rPr>
                        <w:spacing w:val="-2"/>
                        <w:sz w:val="20"/>
                      </w:rPr>
                      <w:t> </w:t>
                    </w:r>
                    <w:r>
                      <w:rPr>
                        <w:sz w:val="20"/>
                      </w:rPr>
                      <w:t>Declaration</w:t>
                    </w:r>
                    <w:r>
                      <w:rPr>
                        <w:spacing w:val="-3"/>
                        <w:sz w:val="20"/>
                      </w:rPr>
                      <w:t> </w:t>
                    </w:r>
                    <w:r>
                      <w:rPr>
                        <w:sz w:val="20"/>
                      </w:rPr>
                      <w:t>of</w:t>
                    </w:r>
                    <w:r>
                      <w:rPr>
                        <w:spacing w:val="-5"/>
                        <w:sz w:val="20"/>
                      </w:rPr>
                      <w:t> </w:t>
                    </w:r>
                    <w:r>
                      <w:rPr>
                        <w:sz w:val="20"/>
                      </w:rPr>
                      <w:t>Interests</w:t>
                    </w:r>
                    <w:r>
                      <w:rPr>
                        <w:spacing w:val="-1"/>
                        <w:sz w:val="20"/>
                      </w:rPr>
                      <w:t> </w:t>
                    </w:r>
                    <w:r>
                      <w:rPr>
                        <w:sz w:val="20"/>
                      </w:rPr>
                      <w:t>to</w:t>
                    </w:r>
                    <w:r>
                      <w:rPr>
                        <w:spacing w:val="-3"/>
                        <w:sz w:val="20"/>
                      </w:rPr>
                      <w:t> </w:t>
                    </w:r>
                    <w:r>
                      <w:rPr>
                        <w:sz w:val="20"/>
                      </w:rPr>
                      <w:t>the</w:t>
                    </w:r>
                    <w:r>
                      <w:rPr>
                        <w:spacing w:val="-3"/>
                        <w:sz w:val="20"/>
                      </w:rPr>
                      <w:t> </w:t>
                    </w:r>
                    <w:r>
                      <w:rPr>
                        <w:sz w:val="20"/>
                      </w:rPr>
                      <w:t>Integrity Commissioner. Similarly, chief executives are required by section 101 of</w:t>
                    </w:r>
                    <w:r>
                      <w:rPr>
                        <w:spacing w:val="-33"/>
                        <w:sz w:val="20"/>
                      </w:rPr>
                      <w:t> </w:t>
                    </w:r>
                    <w:r>
                      <w:rPr>
                        <w:sz w:val="20"/>
                      </w:rPr>
                      <w:t>the</w:t>
                    </w:r>
                  </w:p>
                  <w:p>
                    <w:pPr>
                      <w:spacing w:line="276" w:lineRule="auto" w:before="0"/>
                      <w:ind w:left="142" w:right="0" w:firstLine="0"/>
                      <w:jc w:val="left"/>
                      <w:rPr>
                        <w:sz w:val="20"/>
                      </w:rPr>
                    </w:pPr>
                    <w:r>
                      <w:rPr>
                        <w:i/>
                        <w:sz w:val="20"/>
                      </w:rPr>
                      <w:t>Public</w:t>
                    </w:r>
                    <w:r>
                      <w:rPr>
                        <w:i/>
                        <w:spacing w:val="-3"/>
                        <w:sz w:val="20"/>
                      </w:rPr>
                      <w:t> </w:t>
                    </w:r>
                    <w:r>
                      <w:rPr>
                        <w:i/>
                        <w:sz w:val="20"/>
                      </w:rPr>
                      <w:t>Service</w:t>
                    </w:r>
                    <w:r>
                      <w:rPr>
                        <w:i/>
                        <w:spacing w:val="-2"/>
                        <w:sz w:val="20"/>
                      </w:rPr>
                      <w:t> </w:t>
                    </w:r>
                    <w:r>
                      <w:rPr>
                        <w:i/>
                        <w:sz w:val="20"/>
                      </w:rPr>
                      <w:t>Act</w:t>
                    </w:r>
                    <w:r>
                      <w:rPr>
                        <w:i/>
                        <w:spacing w:val="-2"/>
                        <w:sz w:val="20"/>
                      </w:rPr>
                      <w:t> </w:t>
                    </w:r>
                    <w:r>
                      <w:rPr>
                        <w:i/>
                        <w:sz w:val="20"/>
                      </w:rPr>
                      <w:t>2008</w:t>
                    </w:r>
                    <w:r>
                      <w:rPr>
                        <w:i/>
                        <w:spacing w:val="-1"/>
                        <w:sz w:val="20"/>
                      </w:rPr>
                      <w:t> </w:t>
                    </w:r>
                    <w:r>
                      <w:rPr>
                        <w:sz w:val="20"/>
                      </w:rPr>
                      <w:t>to</w:t>
                    </w:r>
                    <w:r>
                      <w:rPr>
                        <w:spacing w:val="-2"/>
                        <w:sz w:val="20"/>
                      </w:rPr>
                      <w:t> </w:t>
                    </w:r>
                    <w:r>
                      <w:rPr>
                        <w:sz w:val="20"/>
                      </w:rPr>
                      <w:t>provide</w:t>
                    </w:r>
                    <w:r>
                      <w:rPr>
                        <w:spacing w:val="-3"/>
                        <w:sz w:val="20"/>
                      </w:rPr>
                      <w:t> </w:t>
                    </w:r>
                    <w:r>
                      <w:rPr>
                        <w:sz w:val="20"/>
                      </w:rPr>
                      <w:t>copies</w:t>
                    </w:r>
                    <w:r>
                      <w:rPr>
                        <w:spacing w:val="-4"/>
                        <w:sz w:val="20"/>
                      </w:rPr>
                      <w:t> </w:t>
                    </w:r>
                    <w:r>
                      <w:rPr>
                        <w:sz w:val="20"/>
                      </w:rPr>
                      <w:t>of</w:t>
                    </w:r>
                    <w:r>
                      <w:rPr>
                        <w:spacing w:val="-4"/>
                        <w:sz w:val="20"/>
                      </w:rPr>
                      <w:t> </w:t>
                    </w:r>
                    <w:r>
                      <w:rPr>
                        <w:sz w:val="20"/>
                      </w:rPr>
                      <w:t>their Declaration</w:t>
                    </w:r>
                    <w:r>
                      <w:rPr>
                        <w:spacing w:val="-3"/>
                        <w:sz w:val="20"/>
                      </w:rPr>
                      <w:t> </w:t>
                    </w:r>
                    <w:r>
                      <w:rPr>
                        <w:sz w:val="20"/>
                      </w:rPr>
                      <w:t>of</w:t>
                    </w:r>
                    <w:r>
                      <w:rPr>
                        <w:spacing w:val="-4"/>
                        <w:sz w:val="20"/>
                      </w:rPr>
                      <w:t> </w:t>
                    </w:r>
                    <w:r>
                      <w:rPr>
                        <w:sz w:val="20"/>
                      </w:rPr>
                      <w:t>Interests</w:t>
                    </w:r>
                    <w:r>
                      <w:rPr>
                        <w:spacing w:val="-4"/>
                        <w:sz w:val="20"/>
                      </w:rPr>
                      <w:t> </w:t>
                    </w:r>
                    <w:r>
                      <w:rPr>
                        <w:sz w:val="20"/>
                      </w:rPr>
                      <w:t>to</w:t>
                    </w:r>
                    <w:r>
                      <w:rPr>
                        <w:spacing w:val="-2"/>
                        <w:sz w:val="20"/>
                      </w:rPr>
                      <w:t> </w:t>
                    </w:r>
                    <w:r>
                      <w:rPr>
                        <w:sz w:val="20"/>
                      </w:rPr>
                      <w:t>the Integrity Commissioner. Section 85(2) of the </w:t>
                    </w:r>
                    <w:r>
                      <w:rPr>
                        <w:i/>
                        <w:sz w:val="20"/>
                      </w:rPr>
                      <w:t>Integrity Act 2009 </w:t>
                    </w:r>
                    <w:r>
                      <w:rPr>
                        <w:sz w:val="20"/>
                      </w:rPr>
                      <w:t>requires</w:t>
                    </w:r>
                    <w:r>
                      <w:rPr>
                        <w:spacing w:val="-14"/>
                        <w:sz w:val="20"/>
                      </w:rPr>
                      <w:t> </w:t>
                    </w:r>
                    <w:r>
                      <w:rPr>
                        <w:sz w:val="20"/>
                      </w:rPr>
                      <w:t>the</w:t>
                    </w:r>
                  </w:p>
                  <w:p>
                    <w:pPr>
                      <w:spacing w:line="276" w:lineRule="auto" w:before="1"/>
                      <w:ind w:left="142" w:right="118" w:firstLine="0"/>
                      <w:jc w:val="left"/>
                      <w:rPr>
                        <w:sz w:val="20"/>
                      </w:rPr>
                    </w:pPr>
                    <w:r>
                      <w:rPr>
                        <w:sz w:val="20"/>
                      </w:rPr>
                      <w:t>Integrity Commissioner to provide details of compliance by statutory office holders and chief executives in this respect. As at 30 June 2019, all statutory office holders and chief executives had complied with these requirements.</w:t>
                    </w:r>
                  </w:p>
                  <w:p>
                    <w:pPr>
                      <w:spacing w:line="276" w:lineRule="auto" w:before="0"/>
                      <w:ind w:left="142" w:right="0" w:firstLine="0"/>
                      <w:jc w:val="left"/>
                      <w:rPr>
                        <w:sz w:val="20"/>
                      </w:rPr>
                    </w:pPr>
                    <w:r>
                      <w:rPr>
                        <w:sz w:val="20"/>
                      </w:rPr>
                      <w:t>Declarations made by Directors-General are now published on the Public Service Commission website,</w:t>
                    </w:r>
                    <w:r>
                      <w:rPr>
                        <w:color w:val="0000FF"/>
                        <w:sz w:val="20"/>
                        <w:u w:val="single" w:color="0000FF"/>
                      </w:rPr>
                      <w:t> </w:t>
                    </w:r>
                    <w:hyperlink r:id="rId41">
                      <w:r>
                        <w:rPr>
                          <w:color w:val="0000FF"/>
                          <w:sz w:val="20"/>
                          <w:u w:val="single" w:color="0000FF"/>
                        </w:rPr>
                        <w:t>www.psc.qld.gov.au</w:t>
                      </w:r>
                      <w:r>
                        <w:rPr>
                          <w:sz w:val="20"/>
                        </w:rPr>
                        <w:t>. </w:t>
                      </w:r>
                    </w:hyperlink>
                    <w:r>
                      <w:rPr>
                        <w:sz w:val="20"/>
                      </w:rPr>
                      <w:t>In accordance with the </w:t>
                    </w:r>
                    <w:r>
                      <w:rPr>
                        <w:i/>
                        <w:sz w:val="20"/>
                      </w:rPr>
                      <w:t>Integrity Act </w:t>
                    </w:r>
                    <w:r>
                      <w:rPr>
                        <w:i/>
                        <w:sz w:val="20"/>
                      </w:rPr>
                      <w:t>2009</w:t>
                    </w:r>
                    <w:r>
                      <w:rPr>
                        <w:sz w:val="20"/>
                      </w:rPr>
                      <w:t>, the Integrity Commissioner has provided the Speaker with her own</w:t>
                    </w:r>
                  </w:p>
                  <w:p>
                    <w:pPr>
                      <w:spacing w:before="0"/>
                      <w:ind w:left="142" w:right="0" w:firstLine="0"/>
                      <w:jc w:val="left"/>
                      <w:rPr>
                        <w:sz w:val="20"/>
                      </w:rPr>
                    </w:pPr>
                    <w:r>
                      <w:rPr>
                        <w:sz w:val="20"/>
                      </w:rPr>
                      <w:t>Declaration of Interests and amended Declarations as necessary.</w:t>
                    </w:r>
                  </w:p>
                </w:txbxContent>
              </v:textbox>
              <w10:wrap type="none"/>
            </v:shape>
            <w10:wrap type="topAndBottom"/>
          </v:group>
        </w:pict>
      </w:r>
      <w:r>
        <w:rPr/>
        <w:drawing>
          <wp:anchor distT="0" distB="0" distL="0" distR="0" allowOverlap="1" layoutInCell="1" locked="0" behindDoc="0" simplePos="0" relativeHeight="3376">
            <wp:simplePos x="0" y="0"/>
            <wp:positionH relativeFrom="page">
              <wp:posOffset>4917947</wp:posOffset>
            </wp:positionH>
            <wp:positionV relativeFrom="page">
              <wp:posOffset>420624</wp:posOffset>
            </wp:positionV>
            <wp:extent cx="5370576" cy="6765035"/>
            <wp:effectExtent l="0" t="0" r="0" b="0"/>
            <wp:wrapNone/>
            <wp:docPr id="37" name="image34.png" descr=""/>
            <wp:cNvGraphicFramePr>
              <a:graphicFrameLocks noChangeAspect="1"/>
            </wp:cNvGraphicFramePr>
            <a:graphic>
              <a:graphicData uri="http://schemas.openxmlformats.org/drawingml/2006/picture">
                <pic:pic>
                  <pic:nvPicPr>
                    <pic:cNvPr id="38" name="image34.png"/>
                    <pic:cNvPicPr/>
                  </pic:nvPicPr>
                  <pic:blipFill>
                    <a:blip r:embed="rId42" cstate="print"/>
                    <a:stretch>
                      <a:fillRect/>
                    </a:stretch>
                  </pic:blipFill>
                  <pic:spPr>
                    <a:xfrm>
                      <a:off x="0" y="0"/>
                      <a:ext cx="5370576" cy="6765035"/>
                    </a:xfrm>
                    <a:prstGeom prst="rect">
                      <a:avLst/>
                    </a:prstGeom>
                  </pic:spPr>
                </pic:pic>
              </a:graphicData>
            </a:graphic>
          </wp:anchor>
        </w:drawing>
      </w:r>
      <w:r>
        <w:rPr/>
        <w:pict>
          <v:shape style="position:absolute;margin-left:389.359985pt;margin-top:35.195007pt;width:415.25pt;height:524.550pt;mso-position-horizontal-relative:page;mso-position-vertical-relative:page;z-index:3400" type="#_x0000_t202"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26"/>
                    <w:gridCol w:w="754"/>
                    <w:gridCol w:w="824"/>
                    <w:gridCol w:w="958"/>
                    <w:gridCol w:w="1037"/>
                    <w:gridCol w:w="878"/>
                  </w:tblGrid>
                  <w:tr>
                    <w:trPr>
                      <w:trHeight w:val="805" w:hRule="atLeast"/>
                    </w:trPr>
                    <w:tc>
                      <w:tcPr>
                        <w:tcW w:w="3826" w:type="dxa"/>
                        <w:tcBorders>
                          <w:top w:val="single" w:sz="8" w:space="0" w:color="000000"/>
                          <w:left w:val="single" w:sz="8" w:space="0" w:color="000000"/>
                        </w:tcBorders>
                      </w:tcPr>
                      <w:p>
                        <w:pPr>
                          <w:pStyle w:val="TableParagraph"/>
                          <w:spacing w:before="99"/>
                          <w:ind w:left="71"/>
                          <w:rPr>
                            <w:rFonts w:ascii="Gill Sans MT"/>
                            <w:sz w:val="17"/>
                          </w:rPr>
                        </w:pPr>
                        <w:r>
                          <w:rPr>
                            <w:rFonts w:ascii="Gill Sans MT"/>
                            <w:w w:val="105"/>
                            <w:sz w:val="22"/>
                          </w:rPr>
                          <w:t>Q</w:t>
                        </w:r>
                        <w:r>
                          <w:rPr>
                            <w:rFonts w:ascii="Gill Sans MT"/>
                            <w:w w:val="105"/>
                            <w:sz w:val="17"/>
                          </w:rPr>
                          <w:t>UEENSLAND</w:t>
                        </w:r>
                        <w:r>
                          <w:rPr>
                            <w:rFonts w:ascii="Gill Sans MT"/>
                            <w:spacing w:val="-27"/>
                            <w:w w:val="105"/>
                            <w:sz w:val="17"/>
                          </w:rPr>
                          <w:t> </w:t>
                        </w:r>
                        <w:r>
                          <w:rPr>
                            <w:rFonts w:ascii="Gill Sans MT"/>
                            <w:w w:val="105"/>
                            <w:sz w:val="22"/>
                          </w:rPr>
                          <w:t>I</w:t>
                        </w:r>
                        <w:r>
                          <w:rPr>
                            <w:rFonts w:ascii="Gill Sans MT"/>
                            <w:w w:val="105"/>
                            <w:sz w:val="17"/>
                          </w:rPr>
                          <w:t>NTEGRITY</w:t>
                        </w:r>
                        <w:r>
                          <w:rPr>
                            <w:rFonts w:ascii="Gill Sans MT"/>
                            <w:spacing w:val="-27"/>
                            <w:w w:val="105"/>
                            <w:sz w:val="17"/>
                          </w:rPr>
                          <w:t> </w:t>
                        </w:r>
                        <w:r>
                          <w:rPr>
                            <w:rFonts w:ascii="Gill Sans MT"/>
                            <w:w w:val="105"/>
                            <w:sz w:val="22"/>
                          </w:rPr>
                          <w:t>C</w:t>
                        </w:r>
                        <w:r>
                          <w:rPr>
                            <w:rFonts w:ascii="Gill Sans MT"/>
                            <w:w w:val="105"/>
                            <w:sz w:val="17"/>
                          </w:rPr>
                          <w:t>OMMISSIONER</w:t>
                        </w:r>
                      </w:p>
                      <w:p>
                        <w:pPr>
                          <w:pStyle w:val="TableParagraph"/>
                          <w:spacing w:before="119"/>
                          <w:ind w:left="71"/>
                          <w:rPr>
                            <w:rFonts w:ascii="Gill Sans MT"/>
                            <w:sz w:val="17"/>
                          </w:rPr>
                        </w:pPr>
                        <w:r>
                          <w:rPr>
                            <w:rFonts w:ascii="Gill Sans MT"/>
                            <w:w w:val="105"/>
                            <w:sz w:val="22"/>
                          </w:rPr>
                          <w:t>S</w:t>
                        </w:r>
                        <w:r>
                          <w:rPr>
                            <w:rFonts w:ascii="Gill Sans MT"/>
                            <w:w w:val="105"/>
                            <w:sz w:val="17"/>
                          </w:rPr>
                          <w:t>TATEMENT OF</w:t>
                        </w:r>
                        <w:r>
                          <w:rPr>
                            <w:rFonts w:ascii="Gill Sans MT"/>
                            <w:spacing w:val="-39"/>
                            <w:w w:val="105"/>
                            <w:sz w:val="17"/>
                          </w:rPr>
                          <w:t> </w:t>
                        </w:r>
                        <w:r>
                          <w:rPr>
                            <w:rFonts w:ascii="Gill Sans MT"/>
                            <w:w w:val="105"/>
                            <w:sz w:val="22"/>
                          </w:rPr>
                          <w:t>C</w:t>
                        </w:r>
                        <w:r>
                          <w:rPr>
                            <w:rFonts w:ascii="Gill Sans MT"/>
                            <w:w w:val="105"/>
                            <w:sz w:val="17"/>
                          </w:rPr>
                          <w:t>OMPREHENSIVE </w:t>
                        </w:r>
                        <w:r>
                          <w:rPr>
                            <w:rFonts w:ascii="Gill Sans MT"/>
                            <w:w w:val="105"/>
                            <w:sz w:val="22"/>
                          </w:rPr>
                          <w:t>I</w:t>
                        </w:r>
                        <w:r>
                          <w:rPr>
                            <w:rFonts w:ascii="Gill Sans MT"/>
                            <w:w w:val="105"/>
                            <w:sz w:val="17"/>
                          </w:rPr>
                          <w:t>NCOME</w:t>
                        </w:r>
                      </w:p>
                    </w:tc>
                    <w:tc>
                      <w:tcPr>
                        <w:tcW w:w="754" w:type="dxa"/>
                        <w:tcBorders>
                          <w:top w:val="single" w:sz="8" w:space="0" w:color="000000"/>
                        </w:tcBorders>
                      </w:tcPr>
                      <w:p>
                        <w:pPr>
                          <w:pStyle w:val="TableParagraph"/>
                          <w:rPr>
                            <w:rFonts w:ascii="Times New Roman"/>
                            <w:sz w:val="18"/>
                          </w:rPr>
                        </w:pPr>
                      </w:p>
                    </w:tc>
                    <w:tc>
                      <w:tcPr>
                        <w:tcW w:w="824" w:type="dxa"/>
                        <w:tcBorders>
                          <w:top w:val="single" w:sz="8" w:space="0" w:color="000000"/>
                        </w:tcBorders>
                      </w:tcPr>
                      <w:p>
                        <w:pPr>
                          <w:pStyle w:val="TableParagraph"/>
                          <w:rPr>
                            <w:rFonts w:ascii="Times New Roman"/>
                            <w:sz w:val="18"/>
                          </w:rPr>
                        </w:pPr>
                      </w:p>
                    </w:tc>
                    <w:tc>
                      <w:tcPr>
                        <w:tcW w:w="958" w:type="dxa"/>
                        <w:tcBorders>
                          <w:top w:val="single" w:sz="8" w:space="0" w:color="000000"/>
                        </w:tcBorders>
                      </w:tcPr>
                      <w:p>
                        <w:pPr>
                          <w:pStyle w:val="TableParagraph"/>
                          <w:rPr>
                            <w:rFonts w:ascii="Times New Roman"/>
                            <w:sz w:val="18"/>
                          </w:rPr>
                        </w:pPr>
                      </w:p>
                    </w:tc>
                    <w:tc>
                      <w:tcPr>
                        <w:tcW w:w="1037" w:type="dxa"/>
                        <w:tcBorders>
                          <w:top w:val="single" w:sz="8" w:space="0" w:color="000000"/>
                        </w:tcBorders>
                      </w:tcPr>
                      <w:p>
                        <w:pPr>
                          <w:pStyle w:val="TableParagraph"/>
                          <w:rPr>
                            <w:rFonts w:ascii="Times New Roman"/>
                            <w:sz w:val="18"/>
                          </w:rPr>
                        </w:pPr>
                      </w:p>
                    </w:tc>
                    <w:tc>
                      <w:tcPr>
                        <w:tcW w:w="878" w:type="dxa"/>
                        <w:tcBorders>
                          <w:top w:val="single" w:sz="8" w:space="0" w:color="000000"/>
                          <w:right w:val="single" w:sz="8" w:space="0" w:color="000000"/>
                        </w:tcBorders>
                      </w:tcPr>
                      <w:p>
                        <w:pPr>
                          <w:pStyle w:val="TableParagraph"/>
                          <w:rPr>
                            <w:rFonts w:ascii="Times New Roman"/>
                            <w:sz w:val="18"/>
                          </w:rPr>
                        </w:pPr>
                      </w:p>
                    </w:tc>
                  </w:tr>
                  <w:tr>
                    <w:trPr>
                      <w:trHeight w:val="366" w:hRule="atLeast"/>
                    </w:trPr>
                    <w:tc>
                      <w:tcPr>
                        <w:tcW w:w="3826" w:type="dxa"/>
                        <w:tcBorders>
                          <w:left w:val="single" w:sz="8" w:space="0" w:color="000000"/>
                        </w:tcBorders>
                      </w:tcPr>
                      <w:p>
                        <w:pPr>
                          <w:pStyle w:val="TableParagraph"/>
                          <w:spacing w:before="35"/>
                          <w:ind w:left="71"/>
                          <w:rPr>
                            <w:sz w:val="20"/>
                          </w:rPr>
                        </w:pPr>
                        <w:r>
                          <w:rPr>
                            <w:sz w:val="20"/>
                          </w:rPr>
                          <w:t>Year ended 30 June 2019</w:t>
                        </w:r>
                      </w:p>
                    </w:tc>
                    <w:tc>
                      <w:tcPr>
                        <w:tcW w:w="754" w:type="dxa"/>
                      </w:tcPr>
                      <w:p>
                        <w:pPr>
                          <w:pStyle w:val="TableParagraph"/>
                          <w:spacing w:before="35"/>
                          <w:ind w:right="78"/>
                          <w:jc w:val="right"/>
                          <w:rPr>
                            <w:b/>
                            <w:sz w:val="20"/>
                          </w:rPr>
                        </w:pPr>
                        <w:r>
                          <w:rPr>
                            <w:b/>
                            <w:w w:val="95"/>
                            <w:sz w:val="20"/>
                          </w:rPr>
                          <w:t>2019</w:t>
                        </w:r>
                      </w:p>
                    </w:tc>
                    <w:tc>
                      <w:tcPr>
                        <w:tcW w:w="824" w:type="dxa"/>
                      </w:tcPr>
                      <w:p>
                        <w:pPr>
                          <w:pStyle w:val="TableParagraph"/>
                          <w:spacing w:before="35"/>
                          <w:ind w:right="145"/>
                          <w:jc w:val="right"/>
                          <w:rPr>
                            <w:b/>
                            <w:sz w:val="20"/>
                          </w:rPr>
                        </w:pPr>
                        <w:r>
                          <w:rPr>
                            <w:b/>
                            <w:w w:val="95"/>
                            <w:sz w:val="20"/>
                          </w:rPr>
                          <w:t>2018</w:t>
                        </w:r>
                      </w:p>
                    </w:tc>
                    <w:tc>
                      <w:tcPr>
                        <w:tcW w:w="958" w:type="dxa"/>
                      </w:tcPr>
                      <w:p>
                        <w:pPr>
                          <w:pStyle w:val="TableParagraph"/>
                          <w:spacing w:before="35"/>
                          <w:ind w:right="138"/>
                          <w:jc w:val="right"/>
                          <w:rPr>
                            <w:b/>
                            <w:sz w:val="20"/>
                          </w:rPr>
                        </w:pPr>
                        <w:r>
                          <w:rPr>
                            <w:b/>
                            <w:w w:val="95"/>
                            <w:sz w:val="20"/>
                          </w:rPr>
                          <w:t>2019</w:t>
                        </w:r>
                      </w:p>
                    </w:tc>
                    <w:tc>
                      <w:tcPr>
                        <w:tcW w:w="1037" w:type="dxa"/>
                      </w:tcPr>
                      <w:p>
                        <w:pPr>
                          <w:pStyle w:val="TableParagraph"/>
                          <w:rPr>
                            <w:rFonts w:ascii="Times New Roman"/>
                            <w:sz w:val="18"/>
                          </w:rPr>
                        </w:pPr>
                      </w:p>
                    </w:tc>
                    <w:tc>
                      <w:tcPr>
                        <w:tcW w:w="878" w:type="dxa"/>
                        <w:tcBorders>
                          <w:right w:val="single" w:sz="8" w:space="0" w:color="000000"/>
                        </w:tcBorders>
                      </w:tcPr>
                      <w:p>
                        <w:pPr>
                          <w:pStyle w:val="TableParagraph"/>
                          <w:spacing w:before="35"/>
                          <w:ind w:right="50"/>
                          <w:jc w:val="right"/>
                          <w:rPr>
                            <w:b/>
                            <w:sz w:val="20"/>
                          </w:rPr>
                        </w:pPr>
                        <w:r>
                          <w:rPr>
                            <w:b/>
                            <w:w w:val="95"/>
                            <w:sz w:val="20"/>
                          </w:rPr>
                          <w:t>Note</w:t>
                        </w:r>
                      </w:p>
                    </w:tc>
                  </w:tr>
                  <w:tr>
                    <w:trPr>
                      <w:trHeight w:val="932" w:hRule="atLeast"/>
                    </w:trPr>
                    <w:tc>
                      <w:tcPr>
                        <w:tcW w:w="3826" w:type="dxa"/>
                        <w:tcBorders>
                          <w:left w:val="single" w:sz="8" w:space="0" w:color="000000"/>
                        </w:tcBorders>
                      </w:tcPr>
                      <w:p>
                        <w:pPr>
                          <w:pStyle w:val="TableParagraph"/>
                          <w:spacing w:before="1"/>
                          <w:rPr>
                            <w:sz w:val="27"/>
                          </w:rPr>
                        </w:pPr>
                      </w:p>
                      <w:p>
                        <w:pPr>
                          <w:pStyle w:val="TableParagraph"/>
                          <w:ind w:left="71"/>
                          <w:rPr>
                            <w:b/>
                            <w:sz w:val="20"/>
                          </w:rPr>
                        </w:pPr>
                        <w:r>
                          <w:rPr>
                            <w:b/>
                            <w:sz w:val="20"/>
                          </w:rPr>
                          <w:t>OPERATING RESULT</w:t>
                        </w:r>
                      </w:p>
                    </w:tc>
                    <w:tc>
                      <w:tcPr>
                        <w:tcW w:w="754" w:type="dxa"/>
                      </w:tcPr>
                      <w:p>
                        <w:pPr>
                          <w:pStyle w:val="TableParagraph"/>
                          <w:spacing w:before="6"/>
                          <w:rPr>
                            <w:sz w:val="15"/>
                          </w:rPr>
                        </w:pPr>
                      </w:p>
                      <w:p>
                        <w:pPr>
                          <w:pStyle w:val="TableParagraph"/>
                          <w:ind w:left="148"/>
                          <w:rPr>
                            <w:b/>
                            <w:sz w:val="20"/>
                          </w:rPr>
                        </w:pPr>
                        <w:r>
                          <w:rPr>
                            <w:b/>
                            <w:sz w:val="20"/>
                          </w:rPr>
                          <w:t>Actual</w:t>
                        </w:r>
                      </w:p>
                      <w:p>
                        <w:pPr>
                          <w:pStyle w:val="TableParagraph"/>
                          <w:spacing w:before="39"/>
                          <w:ind w:left="95"/>
                          <w:rPr>
                            <w:b/>
                            <w:sz w:val="20"/>
                          </w:rPr>
                        </w:pPr>
                        <w:r>
                          <w:rPr>
                            <w:b/>
                            <w:sz w:val="20"/>
                          </w:rPr>
                          <w:t>($’000)</w:t>
                        </w:r>
                      </w:p>
                    </w:tc>
                    <w:tc>
                      <w:tcPr>
                        <w:tcW w:w="824" w:type="dxa"/>
                      </w:tcPr>
                      <w:p>
                        <w:pPr>
                          <w:pStyle w:val="TableParagraph"/>
                          <w:spacing w:before="6"/>
                          <w:rPr>
                            <w:sz w:val="15"/>
                          </w:rPr>
                        </w:pPr>
                      </w:p>
                      <w:p>
                        <w:pPr>
                          <w:pStyle w:val="TableParagraph"/>
                          <w:ind w:left="150"/>
                          <w:rPr>
                            <w:b/>
                            <w:sz w:val="20"/>
                          </w:rPr>
                        </w:pPr>
                        <w:r>
                          <w:rPr>
                            <w:b/>
                            <w:sz w:val="20"/>
                          </w:rPr>
                          <w:t>Actual</w:t>
                        </w:r>
                      </w:p>
                      <w:p>
                        <w:pPr>
                          <w:pStyle w:val="TableParagraph"/>
                          <w:spacing w:before="39"/>
                          <w:ind w:left="97"/>
                          <w:rPr>
                            <w:b/>
                            <w:sz w:val="20"/>
                          </w:rPr>
                        </w:pPr>
                        <w:r>
                          <w:rPr>
                            <w:b/>
                            <w:sz w:val="20"/>
                          </w:rPr>
                          <w:t>($’000)</w:t>
                        </w:r>
                      </w:p>
                    </w:tc>
                    <w:tc>
                      <w:tcPr>
                        <w:tcW w:w="958" w:type="dxa"/>
                      </w:tcPr>
                      <w:p>
                        <w:pPr>
                          <w:pStyle w:val="TableParagraph"/>
                          <w:spacing w:line="276" w:lineRule="auto" w:before="50"/>
                          <w:ind w:left="224" w:right="138" w:hanging="60"/>
                          <w:jc w:val="both"/>
                          <w:rPr>
                            <w:b/>
                            <w:sz w:val="20"/>
                          </w:rPr>
                        </w:pPr>
                        <w:r>
                          <w:rPr>
                            <w:b/>
                            <w:w w:val="95"/>
                            <w:sz w:val="20"/>
                          </w:rPr>
                          <w:t>Original </w:t>
                        </w:r>
                        <w:r>
                          <w:rPr>
                            <w:b/>
                            <w:sz w:val="20"/>
                          </w:rPr>
                          <w:t>Budget ($’000)</w:t>
                        </w:r>
                      </w:p>
                    </w:tc>
                    <w:tc>
                      <w:tcPr>
                        <w:tcW w:w="1037" w:type="dxa"/>
                      </w:tcPr>
                      <w:p>
                        <w:pPr>
                          <w:pStyle w:val="TableParagraph"/>
                          <w:spacing w:line="276" w:lineRule="auto" w:before="50"/>
                          <w:ind w:left="159" w:right="69" w:firstLine="213"/>
                          <w:jc w:val="right"/>
                          <w:rPr>
                            <w:b/>
                            <w:sz w:val="20"/>
                          </w:rPr>
                        </w:pPr>
                        <w:r>
                          <w:rPr>
                            <w:b/>
                            <w:sz w:val="20"/>
                          </w:rPr>
                          <w:t>Budget Variances ($’000)</w:t>
                        </w:r>
                      </w:p>
                    </w:tc>
                    <w:tc>
                      <w:tcPr>
                        <w:tcW w:w="878" w:type="dxa"/>
                        <w:tcBorders>
                          <w:right w:val="single" w:sz="8" w:space="0" w:color="000000"/>
                        </w:tcBorders>
                      </w:tcPr>
                      <w:p>
                        <w:pPr>
                          <w:pStyle w:val="TableParagraph"/>
                          <w:spacing w:before="6"/>
                          <w:rPr>
                            <w:sz w:val="15"/>
                          </w:rPr>
                        </w:pPr>
                      </w:p>
                      <w:p>
                        <w:pPr>
                          <w:pStyle w:val="TableParagraph"/>
                          <w:spacing w:line="278" w:lineRule="auto"/>
                          <w:ind w:left="89" w:right="33" w:firstLine="134"/>
                          <w:rPr>
                            <w:b/>
                            <w:sz w:val="20"/>
                          </w:rPr>
                        </w:pPr>
                        <w:r>
                          <w:rPr>
                            <w:b/>
                            <w:sz w:val="20"/>
                          </w:rPr>
                          <w:t>Budget </w:t>
                        </w:r>
                        <w:r>
                          <w:rPr>
                            <w:b/>
                            <w:w w:val="95"/>
                            <w:sz w:val="20"/>
                          </w:rPr>
                          <w:t>Variance</w:t>
                        </w:r>
                      </w:p>
                    </w:tc>
                  </w:tr>
                  <w:tr>
                    <w:trPr>
                      <w:trHeight w:val="377" w:hRule="atLeast"/>
                    </w:trPr>
                    <w:tc>
                      <w:tcPr>
                        <w:tcW w:w="3826" w:type="dxa"/>
                        <w:tcBorders>
                          <w:left w:val="single" w:sz="8" w:space="0" w:color="000000"/>
                        </w:tcBorders>
                      </w:tcPr>
                      <w:p>
                        <w:pPr>
                          <w:pStyle w:val="TableParagraph"/>
                          <w:spacing w:before="39"/>
                          <w:ind w:left="71"/>
                          <w:rPr>
                            <w:b/>
                            <w:sz w:val="20"/>
                          </w:rPr>
                        </w:pPr>
                        <w:r>
                          <w:rPr>
                            <w:b/>
                            <w:sz w:val="20"/>
                          </w:rPr>
                          <w:t>Income from Continuing Operations</w:t>
                        </w:r>
                      </w:p>
                    </w:tc>
                    <w:tc>
                      <w:tcPr>
                        <w:tcW w:w="754" w:type="dxa"/>
                      </w:tcPr>
                      <w:p>
                        <w:pPr>
                          <w:pStyle w:val="TableParagraph"/>
                          <w:rPr>
                            <w:rFonts w:ascii="Times New Roman"/>
                            <w:sz w:val="18"/>
                          </w:rPr>
                        </w:pPr>
                      </w:p>
                    </w:tc>
                    <w:tc>
                      <w:tcPr>
                        <w:tcW w:w="824" w:type="dxa"/>
                      </w:tcPr>
                      <w:p>
                        <w:pPr>
                          <w:pStyle w:val="TableParagraph"/>
                          <w:rPr>
                            <w:rFonts w:ascii="Times New Roman"/>
                            <w:sz w:val="18"/>
                          </w:rPr>
                        </w:pPr>
                      </w:p>
                    </w:tc>
                    <w:tc>
                      <w:tcPr>
                        <w:tcW w:w="958" w:type="dxa"/>
                      </w:tcPr>
                      <w:p>
                        <w:pPr>
                          <w:pStyle w:val="TableParagraph"/>
                          <w:rPr>
                            <w:rFonts w:ascii="Times New Roman"/>
                            <w:sz w:val="18"/>
                          </w:rPr>
                        </w:pPr>
                      </w:p>
                    </w:tc>
                    <w:tc>
                      <w:tcPr>
                        <w:tcW w:w="1037" w:type="dxa"/>
                      </w:tcPr>
                      <w:p>
                        <w:pPr>
                          <w:pStyle w:val="TableParagraph"/>
                          <w:rPr>
                            <w:rFonts w:ascii="Times New Roman"/>
                            <w:sz w:val="18"/>
                          </w:rPr>
                        </w:pPr>
                      </w:p>
                    </w:tc>
                    <w:tc>
                      <w:tcPr>
                        <w:tcW w:w="878" w:type="dxa"/>
                        <w:tcBorders>
                          <w:right w:val="single" w:sz="8" w:space="0" w:color="000000"/>
                        </w:tcBorders>
                      </w:tcPr>
                      <w:p>
                        <w:pPr>
                          <w:pStyle w:val="TableParagraph"/>
                          <w:rPr>
                            <w:rFonts w:ascii="Times New Roman"/>
                            <w:sz w:val="18"/>
                          </w:rPr>
                        </w:pPr>
                      </w:p>
                    </w:tc>
                  </w:tr>
                  <w:tr>
                    <w:trPr>
                      <w:trHeight w:val="393" w:hRule="atLeast"/>
                    </w:trPr>
                    <w:tc>
                      <w:tcPr>
                        <w:tcW w:w="3826" w:type="dxa"/>
                        <w:tcBorders>
                          <w:left w:val="single" w:sz="8" w:space="0" w:color="000000"/>
                        </w:tcBorders>
                      </w:tcPr>
                      <w:p>
                        <w:pPr>
                          <w:pStyle w:val="TableParagraph"/>
                          <w:spacing w:before="56"/>
                          <w:ind w:left="428"/>
                          <w:rPr>
                            <w:sz w:val="20"/>
                          </w:rPr>
                        </w:pPr>
                        <w:r>
                          <w:rPr>
                            <w:sz w:val="20"/>
                          </w:rPr>
                          <w:t>Appropriation revenue</w:t>
                        </w:r>
                      </w:p>
                    </w:tc>
                    <w:tc>
                      <w:tcPr>
                        <w:tcW w:w="754" w:type="dxa"/>
                      </w:tcPr>
                      <w:p>
                        <w:pPr>
                          <w:pStyle w:val="TableParagraph"/>
                          <w:spacing w:before="56"/>
                          <w:ind w:right="78"/>
                          <w:jc w:val="right"/>
                          <w:rPr>
                            <w:sz w:val="20"/>
                          </w:rPr>
                        </w:pPr>
                        <w:r>
                          <w:rPr>
                            <w:w w:val="95"/>
                            <w:sz w:val="20"/>
                          </w:rPr>
                          <w:t>1,309</w:t>
                        </w:r>
                      </w:p>
                    </w:tc>
                    <w:tc>
                      <w:tcPr>
                        <w:tcW w:w="824" w:type="dxa"/>
                      </w:tcPr>
                      <w:p>
                        <w:pPr>
                          <w:pStyle w:val="TableParagraph"/>
                          <w:spacing w:before="56"/>
                          <w:ind w:right="145"/>
                          <w:jc w:val="right"/>
                          <w:rPr>
                            <w:sz w:val="20"/>
                          </w:rPr>
                        </w:pPr>
                        <w:r>
                          <w:rPr>
                            <w:w w:val="95"/>
                            <w:sz w:val="20"/>
                          </w:rPr>
                          <w:t>722</w:t>
                        </w:r>
                      </w:p>
                    </w:tc>
                    <w:tc>
                      <w:tcPr>
                        <w:tcW w:w="958" w:type="dxa"/>
                      </w:tcPr>
                      <w:p>
                        <w:pPr>
                          <w:pStyle w:val="TableParagraph"/>
                          <w:spacing w:before="56"/>
                          <w:ind w:right="141"/>
                          <w:jc w:val="right"/>
                          <w:rPr>
                            <w:sz w:val="20"/>
                          </w:rPr>
                        </w:pPr>
                        <w:r>
                          <w:rPr>
                            <w:w w:val="95"/>
                            <w:sz w:val="20"/>
                          </w:rPr>
                          <w:t>1,418</w:t>
                        </w:r>
                      </w:p>
                    </w:tc>
                    <w:tc>
                      <w:tcPr>
                        <w:tcW w:w="1037" w:type="dxa"/>
                      </w:tcPr>
                      <w:p>
                        <w:pPr>
                          <w:pStyle w:val="TableParagraph"/>
                          <w:spacing w:before="56"/>
                          <w:ind w:right="72"/>
                          <w:jc w:val="right"/>
                          <w:rPr>
                            <w:sz w:val="20"/>
                          </w:rPr>
                        </w:pPr>
                        <w:r>
                          <w:rPr>
                            <w:w w:val="95"/>
                            <w:sz w:val="20"/>
                          </w:rPr>
                          <w:t>(110)</w:t>
                        </w:r>
                      </w:p>
                    </w:tc>
                    <w:tc>
                      <w:tcPr>
                        <w:tcW w:w="878" w:type="dxa"/>
                        <w:tcBorders>
                          <w:right w:val="single" w:sz="8" w:space="0" w:color="000000"/>
                        </w:tcBorders>
                      </w:tcPr>
                      <w:p>
                        <w:pPr>
                          <w:pStyle w:val="TableParagraph"/>
                          <w:spacing w:before="56"/>
                          <w:ind w:right="49"/>
                          <w:jc w:val="right"/>
                          <w:rPr>
                            <w:b/>
                            <w:sz w:val="20"/>
                          </w:rPr>
                        </w:pPr>
                        <w:r>
                          <w:rPr>
                            <w:b/>
                            <w:w w:val="99"/>
                            <w:sz w:val="20"/>
                          </w:rPr>
                          <w:t>1</w:t>
                        </w:r>
                      </w:p>
                    </w:tc>
                  </w:tr>
                  <w:tr>
                    <w:trPr>
                      <w:trHeight w:val="403" w:hRule="atLeast"/>
                    </w:trPr>
                    <w:tc>
                      <w:tcPr>
                        <w:tcW w:w="3826" w:type="dxa"/>
                        <w:tcBorders>
                          <w:left w:val="single" w:sz="8" w:space="0" w:color="000000"/>
                        </w:tcBorders>
                      </w:tcPr>
                      <w:p>
                        <w:pPr>
                          <w:pStyle w:val="TableParagraph"/>
                          <w:spacing w:before="56"/>
                          <w:ind w:left="428"/>
                          <w:rPr>
                            <w:sz w:val="20"/>
                          </w:rPr>
                        </w:pPr>
                        <w:r>
                          <w:rPr>
                            <w:sz w:val="20"/>
                          </w:rPr>
                          <w:t>Grants and other contributions</w:t>
                        </w:r>
                      </w:p>
                    </w:tc>
                    <w:tc>
                      <w:tcPr>
                        <w:tcW w:w="754" w:type="dxa"/>
                      </w:tcPr>
                      <w:p>
                        <w:pPr>
                          <w:pStyle w:val="TableParagraph"/>
                          <w:spacing w:before="56"/>
                          <w:ind w:right="77"/>
                          <w:jc w:val="right"/>
                          <w:rPr>
                            <w:sz w:val="20"/>
                          </w:rPr>
                        </w:pPr>
                        <w:r>
                          <w:rPr>
                            <w:w w:val="99"/>
                            <w:sz w:val="20"/>
                          </w:rPr>
                          <w:t>-</w:t>
                        </w:r>
                      </w:p>
                    </w:tc>
                    <w:tc>
                      <w:tcPr>
                        <w:tcW w:w="824" w:type="dxa"/>
                      </w:tcPr>
                      <w:p>
                        <w:pPr>
                          <w:pStyle w:val="TableParagraph"/>
                          <w:spacing w:before="56"/>
                          <w:ind w:right="143"/>
                          <w:jc w:val="right"/>
                          <w:rPr>
                            <w:sz w:val="20"/>
                          </w:rPr>
                        </w:pPr>
                        <w:r>
                          <w:rPr>
                            <w:w w:val="95"/>
                            <w:sz w:val="20"/>
                          </w:rPr>
                          <w:t>68</w:t>
                        </w:r>
                      </w:p>
                    </w:tc>
                    <w:tc>
                      <w:tcPr>
                        <w:tcW w:w="958" w:type="dxa"/>
                      </w:tcPr>
                      <w:p>
                        <w:pPr>
                          <w:pStyle w:val="TableParagraph"/>
                          <w:spacing w:before="56"/>
                          <w:ind w:right="140"/>
                          <w:jc w:val="right"/>
                          <w:rPr>
                            <w:sz w:val="20"/>
                          </w:rPr>
                        </w:pPr>
                        <w:r>
                          <w:rPr>
                            <w:w w:val="99"/>
                            <w:sz w:val="20"/>
                          </w:rPr>
                          <w:t>-</w:t>
                        </w:r>
                      </w:p>
                    </w:tc>
                    <w:tc>
                      <w:tcPr>
                        <w:tcW w:w="1037" w:type="dxa"/>
                      </w:tcPr>
                      <w:p>
                        <w:pPr>
                          <w:pStyle w:val="TableParagraph"/>
                          <w:spacing w:before="56"/>
                          <w:ind w:right="70"/>
                          <w:jc w:val="right"/>
                          <w:rPr>
                            <w:sz w:val="20"/>
                          </w:rPr>
                        </w:pPr>
                        <w:r>
                          <w:rPr>
                            <w:w w:val="99"/>
                            <w:sz w:val="20"/>
                          </w:rPr>
                          <w:t>-</w:t>
                        </w:r>
                      </w:p>
                    </w:tc>
                    <w:tc>
                      <w:tcPr>
                        <w:tcW w:w="878" w:type="dxa"/>
                        <w:tcBorders>
                          <w:right w:val="single" w:sz="8" w:space="0" w:color="000000"/>
                        </w:tcBorders>
                      </w:tcPr>
                      <w:p>
                        <w:pPr>
                          <w:pStyle w:val="TableParagraph"/>
                          <w:rPr>
                            <w:rFonts w:ascii="Times New Roman"/>
                            <w:sz w:val="18"/>
                          </w:rPr>
                        </w:pPr>
                      </w:p>
                    </w:tc>
                  </w:tr>
                  <w:tr>
                    <w:trPr>
                      <w:trHeight w:val="422" w:hRule="atLeast"/>
                    </w:trPr>
                    <w:tc>
                      <w:tcPr>
                        <w:tcW w:w="3826" w:type="dxa"/>
                        <w:tcBorders>
                          <w:left w:val="single" w:sz="8" w:space="0" w:color="000000"/>
                        </w:tcBorders>
                      </w:tcPr>
                      <w:p>
                        <w:pPr>
                          <w:pStyle w:val="TableParagraph"/>
                          <w:spacing w:before="65"/>
                          <w:ind w:left="71"/>
                          <w:rPr>
                            <w:b/>
                            <w:sz w:val="20"/>
                          </w:rPr>
                        </w:pPr>
                        <w:r>
                          <w:rPr>
                            <w:b/>
                            <w:sz w:val="20"/>
                          </w:rPr>
                          <w:t>Total Income from Continuing Operations</w:t>
                        </w:r>
                      </w:p>
                    </w:tc>
                    <w:tc>
                      <w:tcPr>
                        <w:tcW w:w="754" w:type="dxa"/>
                      </w:tcPr>
                      <w:p>
                        <w:pPr>
                          <w:pStyle w:val="TableParagraph"/>
                          <w:spacing w:before="65"/>
                          <w:ind w:right="77"/>
                          <w:jc w:val="right"/>
                          <w:rPr>
                            <w:b/>
                            <w:sz w:val="20"/>
                          </w:rPr>
                        </w:pPr>
                        <w:r>
                          <w:rPr>
                            <w:b/>
                            <w:sz w:val="20"/>
                          </w:rPr>
                          <w:t>1,309</w:t>
                        </w:r>
                      </w:p>
                    </w:tc>
                    <w:tc>
                      <w:tcPr>
                        <w:tcW w:w="824" w:type="dxa"/>
                      </w:tcPr>
                      <w:p>
                        <w:pPr>
                          <w:pStyle w:val="TableParagraph"/>
                          <w:spacing w:before="65"/>
                          <w:ind w:right="145"/>
                          <w:jc w:val="right"/>
                          <w:rPr>
                            <w:b/>
                            <w:sz w:val="20"/>
                          </w:rPr>
                        </w:pPr>
                        <w:r>
                          <w:rPr>
                            <w:b/>
                            <w:w w:val="95"/>
                            <w:sz w:val="20"/>
                          </w:rPr>
                          <w:t>790</w:t>
                        </w:r>
                      </w:p>
                    </w:tc>
                    <w:tc>
                      <w:tcPr>
                        <w:tcW w:w="958" w:type="dxa"/>
                      </w:tcPr>
                      <w:p>
                        <w:pPr>
                          <w:pStyle w:val="TableParagraph"/>
                          <w:spacing w:before="65"/>
                          <w:ind w:right="140"/>
                          <w:jc w:val="right"/>
                          <w:rPr>
                            <w:b/>
                            <w:sz w:val="20"/>
                          </w:rPr>
                        </w:pPr>
                        <w:r>
                          <w:rPr>
                            <w:b/>
                            <w:sz w:val="20"/>
                          </w:rPr>
                          <w:t>1,418</w:t>
                        </w:r>
                      </w:p>
                    </w:tc>
                    <w:tc>
                      <w:tcPr>
                        <w:tcW w:w="1037" w:type="dxa"/>
                      </w:tcPr>
                      <w:p>
                        <w:pPr>
                          <w:pStyle w:val="TableParagraph"/>
                          <w:spacing w:before="65"/>
                          <w:ind w:right="71"/>
                          <w:jc w:val="right"/>
                          <w:rPr>
                            <w:b/>
                            <w:sz w:val="20"/>
                          </w:rPr>
                        </w:pPr>
                        <w:r>
                          <w:rPr>
                            <w:b/>
                            <w:w w:val="95"/>
                            <w:sz w:val="20"/>
                          </w:rPr>
                          <w:t>(110)</w:t>
                        </w:r>
                      </w:p>
                    </w:tc>
                    <w:tc>
                      <w:tcPr>
                        <w:tcW w:w="878" w:type="dxa"/>
                        <w:tcBorders>
                          <w:right w:val="single" w:sz="8" w:space="0" w:color="000000"/>
                        </w:tcBorders>
                      </w:tcPr>
                      <w:p>
                        <w:pPr>
                          <w:pStyle w:val="TableParagraph"/>
                          <w:rPr>
                            <w:rFonts w:ascii="Times New Roman"/>
                            <w:sz w:val="18"/>
                          </w:rPr>
                        </w:pPr>
                      </w:p>
                    </w:tc>
                  </w:tr>
                  <w:tr>
                    <w:trPr>
                      <w:trHeight w:val="428" w:hRule="atLeast"/>
                    </w:trPr>
                    <w:tc>
                      <w:tcPr>
                        <w:tcW w:w="3826" w:type="dxa"/>
                        <w:tcBorders>
                          <w:left w:val="single" w:sz="8" w:space="0" w:color="000000"/>
                        </w:tcBorders>
                      </w:tcPr>
                      <w:p>
                        <w:pPr>
                          <w:pStyle w:val="TableParagraph"/>
                          <w:spacing w:before="75"/>
                          <w:ind w:left="71"/>
                          <w:rPr>
                            <w:b/>
                            <w:sz w:val="20"/>
                          </w:rPr>
                        </w:pPr>
                        <w:r>
                          <w:rPr>
                            <w:b/>
                            <w:sz w:val="20"/>
                          </w:rPr>
                          <w:t>Expenses from Continuing Operations</w:t>
                        </w:r>
                      </w:p>
                    </w:tc>
                    <w:tc>
                      <w:tcPr>
                        <w:tcW w:w="754" w:type="dxa"/>
                      </w:tcPr>
                      <w:p>
                        <w:pPr>
                          <w:pStyle w:val="TableParagraph"/>
                          <w:rPr>
                            <w:rFonts w:ascii="Times New Roman"/>
                            <w:sz w:val="18"/>
                          </w:rPr>
                        </w:pPr>
                      </w:p>
                    </w:tc>
                    <w:tc>
                      <w:tcPr>
                        <w:tcW w:w="824" w:type="dxa"/>
                      </w:tcPr>
                      <w:p>
                        <w:pPr>
                          <w:pStyle w:val="TableParagraph"/>
                          <w:rPr>
                            <w:rFonts w:ascii="Times New Roman"/>
                            <w:sz w:val="18"/>
                          </w:rPr>
                        </w:pPr>
                      </w:p>
                    </w:tc>
                    <w:tc>
                      <w:tcPr>
                        <w:tcW w:w="958" w:type="dxa"/>
                      </w:tcPr>
                      <w:p>
                        <w:pPr>
                          <w:pStyle w:val="TableParagraph"/>
                          <w:rPr>
                            <w:rFonts w:ascii="Times New Roman"/>
                            <w:sz w:val="18"/>
                          </w:rPr>
                        </w:pPr>
                      </w:p>
                    </w:tc>
                    <w:tc>
                      <w:tcPr>
                        <w:tcW w:w="1037" w:type="dxa"/>
                      </w:tcPr>
                      <w:p>
                        <w:pPr>
                          <w:pStyle w:val="TableParagraph"/>
                          <w:rPr>
                            <w:rFonts w:ascii="Times New Roman"/>
                            <w:sz w:val="18"/>
                          </w:rPr>
                        </w:pPr>
                      </w:p>
                    </w:tc>
                    <w:tc>
                      <w:tcPr>
                        <w:tcW w:w="878" w:type="dxa"/>
                        <w:tcBorders>
                          <w:right w:val="single" w:sz="8" w:space="0" w:color="000000"/>
                        </w:tcBorders>
                      </w:tcPr>
                      <w:p>
                        <w:pPr>
                          <w:pStyle w:val="TableParagraph"/>
                          <w:rPr>
                            <w:rFonts w:ascii="Times New Roman"/>
                            <w:sz w:val="18"/>
                          </w:rPr>
                        </w:pPr>
                      </w:p>
                    </w:tc>
                  </w:tr>
                  <w:tr>
                    <w:trPr>
                      <w:trHeight w:val="416" w:hRule="atLeast"/>
                    </w:trPr>
                    <w:tc>
                      <w:tcPr>
                        <w:tcW w:w="3826" w:type="dxa"/>
                        <w:tcBorders>
                          <w:left w:val="single" w:sz="8" w:space="0" w:color="000000"/>
                        </w:tcBorders>
                      </w:tcPr>
                      <w:p>
                        <w:pPr>
                          <w:pStyle w:val="TableParagraph"/>
                          <w:spacing w:before="71"/>
                          <w:ind w:left="71"/>
                          <w:rPr>
                            <w:sz w:val="20"/>
                          </w:rPr>
                        </w:pPr>
                        <w:r>
                          <w:rPr>
                            <w:sz w:val="20"/>
                          </w:rPr>
                          <w:t>Employee expenses</w:t>
                        </w:r>
                      </w:p>
                    </w:tc>
                    <w:tc>
                      <w:tcPr>
                        <w:tcW w:w="754" w:type="dxa"/>
                      </w:tcPr>
                      <w:p>
                        <w:pPr>
                          <w:pStyle w:val="TableParagraph"/>
                          <w:spacing w:before="71"/>
                          <w:ind w:right="78"/>
                          <w:jc w:val="right"/>
                          <w:rPr>
                            <w:sz w:val="20"/>
                          </w:rPr>
                        </w:pPr>
                        <w:r>
                          <w:rPr>
                            <w:w w:val="95"/>
                            <w:sz w:val="20"/>
                          </w:rPr>
                          <w:t>1,009</w:t>
                        </w:r>
                      </w:p>
                    </w:tc>
                    <w:tc>
                      <w:tcPr>
                        <w:tcW w:w="824" w:type="dxa"/>
                      </w:tcPr>
                      <w:p>
                        <w:pPr>
                          <w:pStyle w:val="TableParagraph"/>
                          <w:spacing w:before="71"/>
                          <w:ind w:right="145"/>
                          <w:jc w:val="right"/>
                          <w:rPr>
                            <w:sz w:val="20"/>
                          </w:rPr>
                        </w:pPr>
                        <w:r>
                          <w:rPr>
                            <w:w w:val="95"/>
                            <w:sz w:val="20"/>
                          </w:rPr>
                          <w:t>559</w:t>
                        </w:r>
                      </w:p>
                    </w:tc>
                    <w:tc>
                      <w:tcPr>
                        <w:tcW w:w="958" w:type="dxa"/>
                      </w:tcPr>
                      <w:p>
                        <w:pPr>
                          <w:pStyle w:val="TableParagraph"/>
                          <w:spacing w:before="71"/>
                          <w:ind w:right="141"/>
                          <w:jc w:val="right"/>
                          <w:rPr>
                            <w:sz w:val="20"/>
                          </w:rPr>
                        </w:pPr>
                        <w:r>
                          <w:rPr>
                            <w:w w:val="95"/>
                            <w:sz w:val="20"/>
                          </w:rPr>
                          <w:t>1,054</w:t>
                        </w:r>
                      </w:p>
                    </w:tc>
                    <w:tc>
                      <w:tcPr>
                        <w:tcW w:w="1037" w:type="dxa"/>
                      </w:tcPr>
                      <w:p>
                        <w:pPr>
                          <w:pStyle w:val="TableParagraph"/>
                          <w:spacing w:before="71"/>
                          <w:ind w:right="72"/>
                          <w:jc w:val="right"/>
                          <w:rPr>
                            <w:sz w:val="20"/>
                          </w:rPr>
                        </w:pPr>
                        <w:r>
                          <w:rPr>
                            <w:w w:val="95"/>
                            <w:sz w:val="20"/>
                          </w:rPr>
                          <w:t>(45)</w:t>
                        </w:r>
                      </w:p>
                    </w:tc>
                    <w:tc>
                      <w:tcPr>
                        <w:tcW w:w="878" w:type="dxa"/>
                        <w:tcBorders>
                          <w:right w:val="single" w:sz="8" w:space="0" w:color="000000"/>
                        </w:tcBorders>
                      </w:tcPr>
                      <w:p>
                        <w:pPr>
                          <w:pStyle w:val="TableParagraph"/>
                          <w:spacing w:before="71"/>
                          <w:ind w:right="49"/>
                          <w:jc w:val="right"/>
                          <w:rPr>
                            <w:b/>
                            <w:sz w:val="20"/>
                          </w:rPr>
                        </w:pPr>
                        <w:r>
                          <w:rPr>
                            <w:b/>
                            <w:w w:val="99"/>
                            <w:sz w:val="20"/>
                          </w:rPr>
                          <w:t>2</w:t>
                        </w:r>
                      </w:p>
                    </w:tc>
                  </w:tr>
                  <w:tr>
                    <w:trPr>
                      <w:trHeight w:val="408" w:hRule="atLeast"/>
                    </w:trPr>
                    <w:tc>
                      <w:tcPr>
                        <w:tcW w:w="3826" w:type="dxa"/>
                        <w:tcBorders>
                          <w:left w:val="single" w:sz="8" w:space="0" w:color="000000"/>
                        </w:tcBorders>
                      </w:tcPr>
                      <w:p>
                        <w:pPr>
                          <w:pStyle w:val="TableParagraph"/>
                          <w:spacing w:before="63"/>
                          <w:ind w:left="71"/>
                          <w:rPr>
                            <w:sz w:val="20"/>
                          </w:rPr>
                        </w:pPr>
                        <w:r>
                          <w:rPr>
                            <w:sz w:val="20"/>
                          </w:rPr>
                          <w:t>Supplies and services</w:t>
                        </w:r>
                      </w:p>
                    </w:tc>
                    <w:tc>
                      <w:tcPr>
                        <w:tcW w:w="754" w:type="dxa"/>
                      </w:tcPr>
                      <w:p>
                        <w:pPr>
                          <w:pStyle w:val="TableParagraph"/>
                          <w:spacing w:before="63"/>
                          <w:ind w:right="78"/>
                          <w:jc w:val="right"/>
                          <w:rPr>
                            <w:sz w:val="20"/>
                          </w:rPr>
                        </w:pPr>
                        <w:r>
                          <w:rPr>
                            <w:w w:val="95"/>
                            <w:sz w:val="20"/>
                          </w:rPr>
                          <w:t>295</w:t>
                        </w:r>
                      </w:p>
                    </w:tc>
                    <w:tc>
                      <w:tcPr>
                        <w:tcW w:w="824" w:type="dxa"/>
                      </w:tcPr>
                      <w:p>
                        <w:pPr>
                          <w:pStyle w:val="TableParagraph"/>
                          <w:spacing w:before="63"/>
                          <w:ind w:right="145"/>
                          <w:jc w:val="right"/>
                          <w:rPr>
                            <w:sz w:val="20"/>
                          </w:rPr>
                        </w:pPr>
                        <w:r>
                          <w:rPr>
                            <w:w w:val="95"/>
                            <w:sz w:val="20"/>
                          </w:rPr>
                          <w:t>225</w:t>
                        </w:r>
                      </w:p>
                    </w:tc>
                    <w:tc>
                      <w:tcPr>
                        <w:tcW w:w="958" w:type="dxa"/>
                      </w:tcPr>
                      <w:p>
                        <w:pPr>
                          <w:pStyle w:val="TableParagraph"/>
                          <w:spacing w:before="63"/>
                          <w:ind w:right="141"/>
                          <w:jc w:val="right"/>
                          <w:rPr>
                            <w:sz w:val="20"/>
                          </w:rPr>
                        </w:pPr>
                        <w:r>
                          <w:rPr>
                            <w:w w:val="95"/>
                            <w:sz w:val="20"/>
                          </w:rPr>
                          <w:t>357</w:t>
                        </w:r>
                      </w:p>
                    </w:tc>
                    <w:tc>
                      <w:tcPr>
                        <w:tcW w:w="1037" w:type="dxa"/>
                      </w:tcPr>
                      <w:p>
                        <w:pPr>
                          <w:pStyle w:val="TableParagraph"/>
                          <w:spacing w:before="63"/>
                          <w:ind w:right="72"/>
                          <w:jc w:val="right"/>
                          <w:rPr>
                            <w:sz w:val="20"/>
                          </w:rPr>
                        </w:pPr>
                        <w:r>
                          <w:rPr>
                            <w:w w:val="95"/>
                            <w:sz w:val="20"/>
                          </w:rPr>
                          <w:t>(62)</w:t>
                        </w:r>
                      </w:p>
                    </w:tc>
                    <w:tc>
                      <w:tcPr>
                        <w:tcW w:w="878" w:type="dxa"/>
                        <w:tcBorders>
                          <w:right w:val="single" w:sz="8" w:space="0" w:color="000000"/>
                        </w:tcBorders>
                      </w:tcPr>
                      <w:p>
                        <w:pPr>
                          <w:pStyle w:val="TableParagraph"/>
                          <w:spacing w:before="63"/>
                          <w:ind w:right="49"/>
                          <w:jc w:val="right"/>
                          <w:rPr>
                            <w:b/>
                            <w:sz w:val="20"/>
                          </w:rPr>
                        </w:pPr>
                        <w:r>
                          <w:rPr>
                            <w:b/>
                            <w:w w:val="99"/>
                            <w:sz w:val="20"/>
                          </w:rPr>
                          <w:t>3</w:t>
                        </w:r>
                      </w:p>
                    </w:tc>
                  </w:tr>
                  <w:tr>
                    <w:trPr>
                      <w:trHeight w:val="408" w:hRule="atLeast"/>
                    </w:trPr>
                    <w:tc>
                      <w:tcPr>
                        <w:tcW w:w="3826" w:type="dxa"/>
                        <w:tcBorders>
                          <w:left w:val="single" w:sz="8" w:space="0" w:color="000000"/>
                        </w:tcBorders>
                      </w:tcPr>
                      <w:p>
                        <w:pPr>
                          <w:pStyle w:val="TableParagraph"/>
                          <w:spacing w:before="63"/>
                          <w:ind w:left="71"/>
                          <w:rPr>
                            <w:sz w:val="20"/>
                          </w:rPr>
                        </w:pPr>
                        <w:r>
                          <w:rPr>
                            <w:sz w:val="20"/>
                          </w:rPr>
                          <w:t>Grants and subsidies</w:t>
                        </w:r>
                      </w:p>
                    </w:tc>
                    <w:tc>
                      <w:tcPr>
                        <w:tcW w:w="754" w:type="dxa"/>
                      </w:tcPr>
                      <w:p>
                        <w:pPr>
                          <w:pStyle w:val="TableParagraph"/>
                          <w:spacing w:before="63"/>
                          <w:ind w:right="75"/>
                          <w:jc w:val="right"/>
                          <w:rPr>
                            <w:sz w:val="20"/>
                          </w:rPr>
                        </w:pPr>
                        <w:r>
                          <w:rPr>
                            <w:w w:val="99"/>
                            <w:sz w:val="20"/>
                          </w:rPr>
                          <w:t>5</w:t>
                        </w:r>
                      </w:p>
                    </w:tc>
                    <w:tc>
                      <w:tcPr>
                        <w:tcW w:w="824" w:type="dxa"/>
                      </w:tcPr>
                      <w:p>
                        <w:pPr>
                          <w:pStyle w:val="TableParagraph"/>
                          <w:spacing w:before="63"/>
                          <w:ind w:right="143"/>
                          <w:jc w:val="right"/>
                          <w:rPr>
                            <w:sz w:val="20"/>
                          </w:rPr>
                        </w:pPr>
                        <w:r>
                          <w:rPr>
                            <w:w w:val="99"/>
                            <w:sz w:val="20"/>
                          </w:rPr>
                          <w:t>5</w:t>
                        </w:r>
                      </w:p>
                    </w:tc>
                    <w:tc>
                      <w:tcPr>
                        <w:tcW w:w="958" w:type="dxa"/>
                      </w:tcPr>
                      <w:p>
                        <w:pPr>
                          <w:pStyle w:val="TableParagraph"/>
                          <w:spacing w:before="63"/>
                          <w:ind w:right="138"/>
                          <w:jc w:val="right"/>
                          <w:rPr>
                            <w:sz w:val="20"/>
                          </w:rPr>
                        </w:pPr>
                        <w:r>
                          <w:rPr>
                            <w:w w:val="99"/>
                            <w:sz w:val="20"/>
                          </w:rPr>
                          <w:t>5</w:t>
                        </w:r>
                      </w:p>
                    </w:tc>
                    <w:tc>
                      <w:tcPr>
                        <w:tcW w:w="1037" w:type="dxa"/>
                      </w:tcPr>
                      <w:p>
                        <w:pPr>
                          <w:pStyle w:val="TableParagraph"/>
                          <w:spacing w:before="63"/>
                          <w:ind w:right="70"/>
                          <w:jc w:val="right"/>
                          <w:rPr>
                            <w:sz w:val="20"/>
                          </w:rPr>
                        </w:pPr>
                        <w:r>
                          <w:rPr>
                            <w:w w:val="99"/>
                            <w:sz w:val="20"/>
                          </w:rPr>
                          <w:t>-</w:t>
                        </w:r>
                      </w:p>
                    </w:tc>
                    <w:tc>
                      <w:tcPr>
                        <w:tcW w:w="878" w:type="dxa"/>
                        <w:tcBorders>
                          <w:right w:val="single" w:sz="8" w:space="0" w:color="000000"/>
                        </w:tcBorders>
                      </w:tcPr>
                      <w:p>
                        <w:pPr>
                          <w:pStyle w:val="TableParagraph"/>
                          <w:rPr>
                            <w:rFonts w:ascii="Times New Roman"/>
                            <w:sz w:val="18"/>
                          </w:rPr>
                        </w:pPr>
                      </w:p>
                    </w:tc>
                  </w:tr>
                  <w:tr>
                    <w:trPr>
                      <w:trHeight w:val="395" w:hRule="atLeast"/>
                    </w:trPr>
                    <w:tc>
                      <w:tcPr>
                        <w:tcW w:w="3826" w:type="dxa"/>
                        <w:tcBorders>
                          <w:left w:val="single" w:sz="8" w:space="0" w:color="000000"/>
                        </w:tcBorders>
                      </w:tcPr>
                      <w:p>
                        <w:pPr>
                          <w:pStyle w:val="TableParagraph"/>
                          <w:spacing w:before="63"/>
                          <w:ind w:left="71"/>
                          <w:rPr>
                            <w:sz w:val="20"/>
                          </w:rPr>
                        </w:pPr>
                        <w:r>
                          <w:rPr>
                            <w:sz w:val="20"/>
                          </w:rPr>
                          <w:t>Depreciation and amortisation</w:t>
                        </w:r>
                      </w:p>
                    </w:tc>
                    <w:tc>
                      <w:tcPr>
                        <w:tcW w:w="754" w:type="dxa"/>
                      </w:tcPr>
                      <w:p>
                        <w:pPr>
                          <w:pStyle w:val="TableParagraph"/>
                          <w:spacing w:before="63"/>
                          <w:ind w:right="77"/>
                          <w:jc w:val="right"/>
                          <w:rPr>
                            <w:sz w:val="20"/>
                          </w:rPr>
                        </w:pPr>
                        <w:r>
                          <w:rPr>
                            <w:w w:val="99"/>
                            <w:sz w:val="20"/>
                          </w:rPr>
                          <w:t>-</w:t>
                        </w:r>
                      </w:p>
                    </w:tc>
                    <w:tc>
                      <w:tcPr>
                        <w:tcW w:w="824" w:type="dxa"/>
                      </w:tcPr>
                      <w:p>
                        <w:pPr>
                          <w:pStyle w:val="TableParagraph"/>
                          <w:spacing w:before="63"/>
                          <w:ind w:right="143"/>
                          <w:jc w:val="right"/>
                          <w:rPr>
                            <w:sz w:val="20"/>
                          </w:rPr>
                        </w:pPr>
                        <w:r>
                          <w:rPr>
                            <w:w w:val="99"/>
                            <w:sz w:val="20"/>
                          </w:rPr>
                          <w:t>1</w:t>
                        </w:r>
                      </w:p>
                    </w:tc>
                    <w:tc>
                      <w:tcPr>
                        <w:tcW w:w="958" w:type="dxa"/>
                      </w:tcPr>
                      <w:p>
                        <w:pPr>
                          <w:pStyle w:val="TableParagraph"/>
                          <w:spacing w:before="63"/>
                          <w:ind w:right="138"/>
                          <w:jc w:val="right"/>
                          <w:rPr>
                            <w:sz w:val="20"/>
                          </w:rPr>
                        </w:pPr>
                        <w:r>
                          <w:rPr>
                            <w:w w:val="99"/>
                            <w:sz w:val="20"/>
                          </w:rPr>
                          <w:t>2</w:t>
                        </w:r>
                      </w:p>
                    </w:tc>
                    <w:tc>
                      <w:tcPr>
                        <w:tcW w:w="1037" w:type="dxa"/>
                      </w:tcPr>
                      <w:p>
                        <w:pPr>
                          <w:pStyle w:val="TableParagraph"/>
                          <w:spacing w:before="63"/>
                          <w:ind w:right="72"/>
                          <w:jc w:val="right"/>
                          <w:rPr>
                            <w:sz w:val="20"/>
                          </w:rPr>
                        </w:pPr>
                        <w:r>
                          <w:rPr>
                            <w:w w:val="95"/>
                            <w:sz w:val="20"/>
                          </w:rPr>
                          <w:t>(2)</w:t>
                        </w:r>
                      </w:p>
                    </w:tc>
                    <w:tc>
                      <w:tcPr>
                        <w:tcW w:w="878" w:type="dxa"/>
                        <w:tcBorders>
                          <w:right w:val="single" w:sz="8" w:space="0" w:color="000000"/>
                        </w:tcBorders>
                      </w:tcPr>
                      <w:p>
                        <w:pPr>
                          <w:pStyle w:val="TableParagraph"/>
                          <w:rPr>
                            <w:rFonts w:ascii="Times New Roman"/>
                            <w:sz w:val="18"/>
                          </w:rPr>
                        </w:pPr>
                      </w:p>
                    </w:tc>
                  </w:tr>
                  <w:tr>
                    <w:trPr>
                      <w:trHeight w:val="346" w:hRule="atLeast"/>
                    </w:trPr>
                    <w:tc>
                      <w:tcPr>
                        <w:tcW w:w="3826" w:type="dxa"/>
                        <w:tcBorders>
                          <w:left w:val="single" w:sz="8" w:space="0" w:color="000000"/>
                        </w:tcBorders>
                      </w:tcPr>
                      <w:p>
                        <w:pPr>
                          <w:pStyle w:val="TableParagraph"/>
                          <w:spacing w:before="53"/>
                          <w:ind w:left="71"/>
                          <w:rPr>
                            <w:b/>
                            <w:sz w:val="20"/>
                          </w:rPr>
                        </w:pPr>
                        <w:r>
                          <w:rPr>
                            <w:b/>
                            <w:sz w:val="20"/>
                          </w:rPr>
                          <w:t>Total Expenses from Continuing Operations</w:t>
                        </w:r>
                      </w:p>
                    </w:tc>
                    <w:tc>
                      <w:tcPr>
                        <w:tcW w:w="754" w:type="dxa"/>
                        <w:tcBorders>
                          <w:bottom w:val="single" w:sz="4" w:space="0" w:color="000000"/>
                        </w:tcBorders>
                      </w:tcPr>
                      <w:p>
                        <w:pPr>
                          <w:pStyle w:val="TableParagraph"/>
                          <w:spacing w:before="51"/>
                          <w:ind w:right="77"/>
                          <w:jc w:val="right"/>
                          <w:rPr>
                            <w:b/>
                            <w:sz w:val="20"/>
                          </w:rPr>
                        </w:pPr>
                        <w:r>
                          <w:rPr>
                            <w:b/>
                            <w:sz w:val="20"/>
                          </w:rPr>
                          <w:t>1,309</w:t>
                        </w:r>
                      </w:p>
                    </w:tc>
                    <w:tc>
                      <w:tcPr>
                        <w:tcW w:w="824" w:type="dxa"/>
                        <w:tcBorders>
                          <w:bottom w:val="single" w:sz="4" w:space="0" w:color="000000"/>
                        </w:tcBorders>
                      </w:tcPr>
                      <w:p>
                        <w:pPr>
                          <w:pStyle w:val="TableParagraph"/>
                          <w:spacing w:before="51"/>
                          <w:ind w:right="145"/>
                          <w:jc w:val="right"/>
                          <w:rPr>
                            <w:b/>
                            <w:sz w:val="20"/>
                          </w:rPr>
                        </w:pPr>
                        <w:r>
                          <w:rPr>
                            <w:b/>
                            <w:w w:val="95"/>
                            <w:sz w:val="20"/>
                          </w:rPr>
                          <w:t>790</w:t>
                        </w:r>
                      </w:p>
                    </w:tc>
                    <w:tc>
                      <w:tcPr>
                        <w:tcW w:w="958" w:type="dxa"/>
                        <w:tcBorders>
                          <w:bottom w:val="single" w:sz="4" w:space="0" w:color="000000"/>
                        </w:tcBorders>
                      </w:tcPr>
                      <w:p>
                        <w:pPr>
                          <w:pStyle w:val="TableParagraph"/>
                          <w:spacing w:before="51"/>
                          <w:ind w:right="140"/>
                          <w:jc w:val="right"/>
                          <w:rPr>
                            <w:b/>
                            <w:sz w:val="20"/>
                          </w:rPr>
                        </w:pPr>
                        <w:r>
                          <w:rPr>
                            <w:b/>
                            <w:sz w:val="20"/>
                          </w:rPr>
                          <w:t>1,418</w:t>
                        </w:r>
                      </w:p>
                    </w:tc>
                    <w:tc>
                      <w:tcPr>
                        <w:tcW w:w="1037" w:type="dxa"/>
                        <w:tcBorders>
                          <w:bottom w:val="single" w:sz="4" w:space="0" w:color="000000"/>
                        </w:tcBorders>
                      </w:tcPr>
                      <w:p>
                        <w:pPr>
                          <w:pStyle w:val="TableParagraph"/>
                          <w:spacing w:before="51"/>
                          <w:ind w:right="71"/>
                          <w:jc w:val="right"/>
                          <w:rPr>
                            <w:b/>
                            <w:sz w:val="20"/>
                          </w:rPr>
                        </w:pPr>
                        <w:r>
                          <w:rPr>
                            <w:b/>
                            <w:w w:val="95"/>
                            <w:sz w:val="20"/>
                          </w:rPr>
                          <w:t>(109)</w:t>
                        </w:r>
                      </w:p>
                    </w:tc>
                    <w:tc>
                      <w:tcPr>
                        <w:tcW w:w="878" w:type="dxa"/>
                        <w:tcBorders>
                          <w:bottom w:val="single" w:sz="4" w:space="0" w:color="000000"/>
                          <w:right w:val="single" w:sz="8" w:space="0" w:color="000000"/>
                        </w:tcBorders>
                      </w:tcPr>
                      <w:p>
                        <w:pPr>
                          <w:pStyle w:val="TableParagraph"/>
                          <w:rPr>
                            <w:rFonts w:ascii="Times New Roman"/>
                            <w:sz w:val="18"/>
                          </w:rPr>
                        </w:pPr>
                      </w:p>
                    </w:tc>
                  </w:tr>
                  <w:tr>
                    <w:trPr>
                      <w:trHeight w:val="381" w:hRule="atLeast"/>
                    </w:trPr>
                    <w:tc>
                      <w:tcPr>
                        <w:tcW w:w="3826" w:type="dxa"/>
                        <w:tcBorders>
                          <w:left w:val="single" w:sz="8" w:space="0" w:color="000000"/>
                        </w:tcBorders>
                      </w:tcPr>
                      <w:p>
                        <w:pPr>
                          <w:pStyle w:val="TableParagraph"/>
                          <w:spacing w:before="83"/>
                          <w:ind w:left="71"/>
                          <w:rPr>
                            <w:b/>
                            <w:sz w:val="20"/>
                          </w:rPr>
                        </w:pPr>
                        <w:r>
                          <w:rPr>
                            <w:b/>
                            <w:sz w:val="20"/>
                          </w:rPr>
                          <w:t>Operating Result for the Year</w:t>
                        </w:r>
                      </w:p>
                    </w:tc>
                    <w:tc>
                      <w:tcPr>
                        <w:tcW w:w="754" w:type="dxa"/>
                        <w:tcBorders>
                          <w:top w:val="single" w:sz="4" w:space="0" w:color="000000"/>
                          <w:bottom w:val="single" w:sz="12" w:space="0" w:color="000000"/>
                        </w:tcBorders>
                      </w:tcPr>
                      <w:p>
                        <w:pPr>
                          <w:pStyle w:val="TableParagraph"/>
                          <w:spacing w:before="79"/>
                          <w:ind w:right="77"/>
                          <w:jc w:val="right"/>
                          <w:rPr>
                            <w:sz w:val="20"/>
                          </w:rPr>
                        </w:pPr>
                        <w:r>
                          <w:rPr>
                            <w:w w:val="99"/>
                            <w:sz w:val="20"/>
                          </w:rPr>
                          <w:t>-</w:t>
                        </w:r>
                      </w:p>
                    </w:tc>
                    <w:tc>
                      <w:tcPr>
                        <w:tcW w:w="824" w:type="dxa"/>
                        <w:tcBorders>
                          <w:top w:val="single" w:sz="4" w:space="0" w:color="000000"/>
                          <w:bottom w:val="single" w:sz="12" w:space="0" w:color="000000"/>
                        </w:tcBorders>
                      </w:tcPr>
                      <w:p>
                        <w:pPr>
                          <w:pStyle w:val="TableParagraph"/>
                          <w:spacing w:before="79"/>
                          <w:ind w:right="144"/>
                          <w:jc w:val="right"/>
                          <w:rPr>
                            <w:sz w:val="20"/>
                          </w:rPr>
                        </w:pPr>
                        <w:r>
                          <w:rPr>
                            <w:w w:val="99"/>
                            <w:sz w:val="20"/>
                          </w:rPr>
                          <w:t>-</w:t>
                        </w:r>
                      </w:p>
                    </w:tc>
                    <w:tc>
                      <w:tcPr>
                        <w:tcW w:w="958" w:type="dxa"/>
                        <w:tcBorders>
                          <w:top w:val="single" w:sz="4" w:space="0" w:color="000000"/>
                          <w:bottom w:val="single" w:sz="12" w:space="0" w:color="000000"/>
                        </w:tcBorders>
                      </w:tcPr>
                      <w:p>
                        <w:pPr>
                          <w:pStyle w:val="TableParagraph"/>
                          <w:spacing w:before="79"/>
                          <w:ind w:right="140"/>
                          <w:jc w:val="right"/>
                          <w:rPr>
                            <w:sz w:val="20"/>
                          </w:rPr>
                        </w:pPr>
                        <w:r>
                          <w:rPr>
                            <w:w w:val="99"/>
                            <w:sz w:val="20"/>
                          </w:rPr>
                          <w:t>-</w:t>
                        </w:r>
                      </w:p>
                    </w:tc>
                    <w:tc>
                      <w:tcPr>
                        <w:tcW w:w="1037" w:type="dxa"/>
                        <w:tcBorders>
                          <w:top w:val="single" w:sz="4" w:space="0" w:color="000000"/>
                          <w:bottom w:val="single" w:sz="12" w:space="0" w:color="000000"/>
                        </w:tcBorders>
                      </w:tcPr>
                      <w:p>
                        <w:pPr>
                          <w:pStyle w:val="TableParagraph"/>
                          <w:spacing w:before="79"/>
                          <w:ind w:right="70"/>
                          <w:jc w:val="right"/>
                          <w:rPr>
                            <w:sz w:val="20"/>
                          </w:rPr>
                        </w:pPr>
                        <w:r>
                          <w:rPr>
                            <w:w w:val="99"/>
                            <w:sz w:val="20"/>
                          </w:rPr>
                          <w:t>-</w:t>
                        </w:r>
                      </w:p>
                    </w:tc>
                    <w:tc>
                      <w:tcPr>
                        <w:tcW w:w="878" w:type="dxa"/>
                        <w:tcBorders>
                          <w:top w:val="single" w:sz="4" w:space="0" w:color="000000"/>
                          <w:bottom w:val="single" w:sz="12" w:space="0" w:color="000000"/>
                          <w:right w:val="single" w:sz="8" w:space="0" w:color="000000"/>
                        </w:tcBorders>
                      </w:tcPr>
                      <w:p>
                        <w:pPr>
                          <w:pStyle w:val="TableParagraph"/>
                          <w:rPr>
                            <w:rFonts w:ascii="Times New Roman"/>
                            <w:sz w:val="18"/>
                          </w:rPr>
                        </w:pPr>
                      </w:p>
                    </w:tc>
                  </w:tr>
                  <w:tr>
                    <w:trPr>
                      <w:trHeight w:val="381" w:hRule="atLeast"/>
                    </w:trPr>
                    <w:tc>
                      <w:tcPr>
                        <w:tcW w:w="3826" w:type="dxa"/>
                        <w:tcBorders>
                          <w:left w:val="single" w:sz="8" w:space="0" w:color="000000"/>
                        </w:tcBorders>
                      </w:tcPr>
                      <w:p>
                        <w:pPr>
                          <w:pStyle w:val="TableParagraph"/>
                          <w:spacing w:before="75"/>
                          <w:ind w:left="71"/>
                          <w:rPr>
                            <w:b/>
                            <w:sz w:val="20"/>
                          </w:rPr>
                        </w:pPr>
                        <w:r>
                          <w:rPr>
                            <w:b/>
                            <w:sz w:val="20"/>
                          </w:rPr>
                          <w:t>OTHER COMPREHENSIVE INCOME</w:t>
                        </w:r>
                      </w:p>
                    </w:tc>
                    <w:tc>
                      <w:tcPr>
                        <w:tcW w:w="754" w:type="dxa"/>
                        <w:tcBorders>
                          <w:top w:val="single" w:sz="12" w:space="0" w:color="000000"/>
                          <w:bottom w:val="single" w:sz="4" w:space="0" w:color="000000"/>
                        </w:tcBorders>
                      </w:tcPr>
                      <w:p>
                        <w:pPr>
                          <w:pStyle w:val="TableParagraph"/>
                          <w:spacing w:before="78"/>
                          <w:ind w:right="77"/>
                          <w:jc w:val="right"/>
                          <w:rPr>
                            <w:sz w:val="20"/>
                          </w:rPr>
                        </w:pPr>
                        <w:r>
                          <w:rPr>
                            <w:w w:val="99"/>
                            <w:sz w:val="20"/>
                          </w:rPr>
                          <w:t>-</w:t>
                        </w:r>
                      </w:p>
                    </w:tc>
                    <w:tc>
                      <w:tcPr>
                        <w:tcW w:w="824" w:type="dxa"/>
                        <w:tcBorders>
                          <w:top w:val="single" w:sz="12" w:space="0" w:color="000000"/>
                          <w:bottom w:val="single" w:sz="4" w:space="0" w:color="000000"/>
                        </w:tcBorders>
                      </w:tcPr>
                      <w:p>
                        <w:pPr>
                          <w:pStyle w:val="TableParagraph"/>
                          <w:spacing w:before="78"/>
                          <w:ind w:right="144"/>
                          <w:jc w:val="right"/>
                          <w:rPr>
                            <w:sz w:val="20"/>
                          </w:rPr>
                        </w:pPr>
                        <w:r>
                          <w:rPr>
                            <w:w w:val="99"/>
                            <w:sz w:val="20"/>
                          </w:rPr>
                          <w:t>-</w:t>
                        </w:r>
                      </w:p>
                    </w:tc>
                    <w:tc>
                      <w:tcPr>
                        <w:tcW w:w="958" w:type="dxa"/>
                        <w:tcBorders>
                          <w:top w:val="single" w:sz="12" w:space="0" w:color="000000"/>
                          <w:bottom w:val="single" w:sz="4" w:space="0" w:color="000000"/>
                        </w:tcBorders>
                      </w:tcPr>
                      <w:p>
                        <w:pPr>
                          <w:pStyle w:val="TableParagraph"/>
                          <w:spacing w:before="78"/>
                          <w:ind w:right="140"/>
                          <w:jc w:val="right"/>
                          <w:rPr>
                            <w:sz w:val="20"/>
                          </w:rPr>
                        </w:pPr>
                        <w:r>
                          <w:rPr>
                            <w:w w:val="99"/>
                            <w:sz w:val="20"/>
                          </w:rPr>
                          <w:t>-</w:t>
                        </w:r>
                      </w:p>
                    </w:tc>
                    <w:tc>
                      <w:tcPr>
                        <w:tcW w:w="1037" w:type="dxa"/>
                        <w:tcBorders>
                          <w:top w:val="single" w:sz="12" w:space="0" w:color="000000"/>
                          <w:bottom w:val="single" w:sz="4" w:space="0" w:color="000000"/>
                        </w:tcBorders>
                      </w:tcPr>
                      <w:p>
                        <w:pPr>
                          <w:pStyle w:val="TableParagraph"/>
                          <w:spacing w:before="78"/>
                          <w:ind w:right="70"/>
                          <w:jc w:val="right"/>
                          <w:rPr>
                            <w:sz w:val="20"/>
                          </w:rPr>
                        </w:pPr>
                        <w:r>
                          <w:rPr>
                            <w:w w:val="99"/>
                            <w:sz w:val="20"/>
                          </w:rPr>
                          <w:t>-</w:t>
                        </w:r>
                      </w:p>
                    </w:tc>
                    <w:tc>
                      <w:tcPr>
                        <w:tcW w:w="878" w:type="dxa"/>
                        <w:tcBorders>
                          <w:top w:val="single" w:sz="12" w:space="0" w:color="000000"/>
                          <w:bottom w:val="single" w:sz="4" w:space="0" w:color="000000"/>
                          <w:right w:val="single" w:sz="8" w:space="0" w:color="000000"/>
                        </w:tcBorders>
                      </w:tcPr>
                      <w:p>
                        <w:pPr>
                          <w:pStyle w:val="TableParagraph"/>
                          <w:rPr>
                            <w:rFonts w:ascii="Times New Roman"/>
                            <w:sz w:val="18"/>
                          </w:rPr>
                        </w:pPr>
                      </w:p>
                    </w:tc>
                  </w:tr>
                  <w:tr>
                    <w:trPr>
                      <w:trHeight w:val="381" w:hRule="atLeast"/>
                    </w:trPr>
                    <w:tc>
                      <w:tcPr>
                        <w:tcW w:w="3826" w:type="dxa"/>
                        <w:tcBorders>
                          <w:left w:val="single" w:sz="8" w:space="0" w:color="000000"/>
                        </w:tcBorders>
                      </w:tcPr>
                      <w:p>
                        <w:pPr>
                          <w:pStyle w:val="TableParagraph"/>
                          <w:spacing w:before="84"/>
                          <w:ind w:left="71"/>
                          <w:rPr>
                            <w:b/>
                            <w:sz w:val="20"/>
                          </w:rPr>
                        </w:pPr>
                        <w:r>
                          <w:rPr>
                            <w:b/>
                            <w:sz w:val="20"/>
                          </w:rPr>
                          <w:t>TOTAL COMPREHENSIVE INCOME</w:t>
                        </w:r>
                      </w:p>
                    </w:tc>
                    <w:tc>
                      <w:tcPr>
                        <w:tcW w:w="754" w:type="dxa"/>
                        <w:tcBorders>
                          <w:top w:val="single" w:sz="4" w:space="0" w:color="000000"/>
                          <w:bottom w:val="single" w:sz="12" w:space="0" w:color="000000"/>
                        </w:tcBorders>
                      </w:tcPr>
                      <w:p>
                        <w:pPr>
                          <w:pStyle w:val="TableParagraph"/>
                          <w:spacing w:before="80"/>
                          <w:ind w:right="77"/>
                          <w:jc w:val="right"/>
                          <w:rPr>
                            <w:sz w:val="20"/>
                          </w:rPr>
                        </w:pPr>
                        <w:r>
                          <w:rPr>
                            <w:w w:val="99"/>
                            <w:sz w:val="20"/>
                          </w:rPr>
                          <w:t>-</w:t>
                        </w:r>
                      </w:p>
                    </w:tc>
                    <w:tc>
                      <w:tcPr>
                        <w:tcW w:w="824" w:type="dxa"/>
                        <w:tcBorders>
                          <w:top w:val="single" w:sz="4" w:space="0" w:color="000000"/>
                          <w:bottom w:val="single" w:sz="12" w:space="0" w:color="000000"/>
                        </w:tcBorders>
                      </w:tcPr>
                      <w:p>
                        <w:pPr>
                          <w:pStyle w:val="TableParagraph"/>
                          <w:spacing w:before="80"/>
                          <w:ind w:right="144"/>
                          <w:jc w:val="right"/>
                          <w:rPr>
                            <w:sz w:val="20"/>
                          </w:rPr>
                        </w:pPr>
                        <w:r>
                          <w:rPr>
                            <w:w w:val="99"/>
                            <w:sz w:val="20"/>
                          </w:rPr>
                          <w:t>-</w:t>
                        </w:r>
                      </w:p>
                    </w:tc>
                    <w:tc>
                      <w:tcPr>
                        <w:tcW w:w="958" w:type="dxa"/>
                        <w:tcBorders>
                          <w:top w:val="single" w:sz="4" w:space="0" w:color="000000"/>
                          <w:bottom w:val="single" w:sz="12" w:space="0" w:color="000000"/>
                        </w:tcBorders>
                      </w:tcPr>
                      <w:p>
                        <w:pPr>
                          <w:pStyle w:val="TableParagraph"/>
                          <w:spacing w:before="80"/>
                          <w:ind w:right="140"/>
                          <w:jc w:val="right"/>
                          <w:rPr>
                            <w:sz w:val="20"/>
                          </w:rPr>
                        </w:pPr>
                        <w:r>
                          <w:rPr>
                            <w:w w:val="99"/>
                            <w:sz w:val="20"/>
                          </w:rPr>
                          <w:t>-</w:t>
                        </w:r>
                      </w:p>
                    </w:tc>
                    <w:tc>
                      <w:tcPr>
                        <w:tcW w:w="1037" w:type="dxa"/>
                        <w:tcBorders>
                          <w:top w:val="single" w:sz="4" w:space="0" w:color="000000"/>
                          <w:bottom w:val="single" w:sz="12" w:space="0" w:color="000000"/>
                        </w:tcBorders>
                      </w:tcPr>
                      <w:p>
                        <w:pPr>
                          <w:pStyle w:val="TableParagraph"/>
                          <w:spacing w:before="80"/>
                          <w:ind w:right="70"/>
                          <w:jc w:val="right"/>
                          <w:rPr>
                            <w:sz w:val="20"/>
                          </w:rPr>
                        </w:pPr>
                        <w:r>
                          <w:rPr>
                            <w:w w:val="99"/>
                            <w:sz w:val="20"/>
                          </w:rPr>
                          <w:t>-</w:t>
                        </w:r>
                      </w:p>
                    </w:tc>
                    <w:tc>
                      <w:tcPr>
                        <w:tcW w:w="878" w:type="dxa"/>
                        <w:tcBorders>
                          <w:top w:val="single" w:sz="4" w:space="0" w:color="000000"/>
                          <w:bottom w:val="single" w:sz="12" w:space="0" w:color="000000"/>
                          <w:right w:val="single" w:sz="8" w:space="0" w:color="000000"/>
                        </w:tcBorders>
                      </w:tcPr>
                      <w:p>
                        <w:pPr>
                          <w:pStyle w:val="TableParagraph"/>
                          <w:rPr>
                            <w:rFonts w:ascii="Times New Roman"/>
                            <w:sz w:val="18"/>
                          </w:rPr>
                        </w:pPr>
                      </w:p>
                    </w:tc>
                  </w:tr>
                  <w:tr>
                    <w:trPr>
                      <w:trHeight w:val="390" w:hRule="atLeast"/>
                    </w:trPr>
                    <w:tc>
                      <w:tcPr>
                        <w:tcW w:w="8277" w:type="dxa"/>
                        <w:gridSpan w:val="6"/>
                        <w:tcBorders>
                          <w:left w:val="single" w:sz="8" w:space="0" w:color="000000"/>
                          <w:right w:val="single" w:sz="8" w:space="0" w:color="000000"/>
                        </w:tcBorders>
                      </w:tcPr>
                      <w:p>
                        <w:pPr>
                          <w:pStyle w:val="TableParagraph"/>
                          <w:spacing w:before="60"/>
                          <w:ind w:left="71"/>
                          <w:rPr>
                            <w:i/>
                            <w:sz w:val="20"/>
                          </w:rPr>
                        </w:pPr>
                        <w:r>
                          <w:rPr>
                            <w:i/>
                            <w:sz w:val="20"/>
                          </w:rPr>
                          <w:t>The following notes form part of this statement.</w:t>
                        </w:r>
                      </w:p>
                    </w:tc>
                  </w:tr>
                  <w:tr>
                    <w:trPr>
                      <w:trHeight w:val="2731" w:hRule="atLeast"/>
                    </w:trPr>
                    <w:tc>
                      <w:tcPr>
                        <w:tcW w:w="8277" w:type="dxa"/>
                        <w:gridSpan w:val="6"/>
                        <w:tcBorders>
                          <w:left w:val="single" w:sz="8" w:space="0" w:color="000000"/>
                          <w:bottom w:val="single" w:sz="8" w:space="0" w:color="000000"/>
                          <w:right w:val="single" w:sz="8" w:space="0" w:color="000000"/>
                        </w:tcBorders>
                      </w:tcPr>
                      <w:p>
                        <w:pPr>
                          <w:pStyle w:val="TableParagraph"/>
                          <w:spacing w:before="49"/>
                          <w:ind w:left="71"/>
                          <w:rPr>
                            <w:b/>
                            <w:sz w:val="20"/>
                          </w:rPr>
                        </w:pPr>
                        <w:r>
                          <w:rPr>
                            <w:b/>
                            <w:sz w:val="20"/>
                          </w:rPr>
                          <w:t>Explanation of major budget variances</w:t>
                        </w:r>
                      </w:p>
                      <w:p>
                        <w:pPr>
                          <w:pStyle w:val="TableParagraph"/>
                          <w:numPr>
                            <w:ilvl w:val="0"/>
                            <w:numId w:val="7"/>
                          </w:numPr>
                          <w:tabs>
                            <w:tab w:pos="430" w:val="left" w:leader="none"/>
                            <w:tab w:pos="431" w:val="left" w:leader="none"/>
                          </w:tabs>
                          <w:spacing w:line="276" w:lineRule="auto" w:before="75" w:after="0"/>
                          <w:ind w:left="431" w:right="166" w:hanging="360"/>
                          <w:jc w:val="left"/>
                          <w:rPr>
                            <w:sz w:val="20"/>
                          </w:rPr>
                        </w:pPr>
                        <w:r>
                          <w:rPr>
                            <w:sz w:val="20"/>
                          </w:rPr>
                          <w:t>Original budget included additional funding of $0.230M reallocated from the Public Service Commission to support the Integrity Commissioner's operating requirements as a result of additional</w:t>
                        </w:r>
                        <w:r>
                          <w:rPr>
                            <w:spacing w:val="-3"/>
                            <w:sz w:val="20"/>
                          </w:rPr>
                          <w:t> </w:t>
                        </w:r>
                        <w:r>
                          <w:rPr>
                            <w:sz w:val="20"/>
                          </w:rPr>
                          <w:t>requests</w:t>
                        </w:r>
                        <w:r>
                          <w:rPr>
                            <w:spacing w:val="-4"/>
                            <w:sz w:val="20"/>
                          </w:rPr>
                          <w:t> </w:t>
                        </w:r>
                        <w:r>
                          <w:rPr>
                            <w:sz w:val="20"/>
                          </w:rPr>
                          <w:t>and</w:t>
                        </w:r>
                        <w:r>
                          <w:rPr>
                            <w:spacing w:val="-3"/>
                            <w:sz w:val="20"/>
                          </w:rPr>
                          <w:t> </w:t>
                        </w:r>
                        <w:r>
                          <w:rPr>
                            <w:sz w:val="20"/>
                          </w:rPr>
                          <w:t>advices</w:t>
                        </w:r>
                        <w:r>
                          <w:rPr>
                            <w:spacing w:val="-5"/>
                            <w:sz w:val="20"/>
                          </w:rPr>
                          <w:t> </w:t>
                        </w:r>
                        <w:r>
                          <w:rPr>
                            <w:sz w:val="20"/>
                          </w:rPr>
                          <w:t>supporting</w:t>
                        </w:r>
                        <w:r>
                          <w:rPr>
                            <w:spacing w:val="-3"/>
                            <w:sz w:val="20"/>
                          </w:rPr>
                          <w:t> </w:t>
                        </w:r>
                        <w:r>
                          <w:rPr>
                            <w:sz w:val="20"/>
                          </w:rPr>
                          <w:t>the</w:t>
                        </w:r>
                        <w:r>
                          <w:rPr>
                            <w:spacing w:val="-4"/>
                            <w:sz w:val="20"/>
                          </w:rPr>
                          <w:t> </w:t>
                        </w:r>
                        <w:r>
                          <w:rPr>
                            <w:sz w:val="20"/>
                          </w:rPr>
                          <w:t>governments</w:t>
                        </w:r>
                        <w:r>
                          <w:rPr>
                            <w:spacing w:val="-4"/>
                            <w:sz w:val="20"/>
                          </w:rPr>
                          <w:t> </w:t>
                        </w:r>
                        <w:r>
                          <w:rPr>
                            <w:sz w:val="20"/>
                          </w:rPr>
                          <w:t>commitment</w:t>
                        </w:r>
                        <w:r>
                          <w:rPr>
                            <w:spacing w:val="-3"/>
                            <w:sz w:val="20"/>
                          </w:rPr>
                          <w:t> </w:t>
                        </w:r>
                        <w:r>
                          <w:rPr>
                            <w:sz w:val="20"/>
                          </w:rPr>
                          <w:t>to</w:t>
                        </w:r>
                        <w:r>
                          <w:rPr>
                            <w:spacing w:val="-2"/>
                            <w:sz w:val="20"/>
                          </w:rPr>
                          <w:t> </w:t>
                        </w:r>
                        <w:r>
                          <w:rPr>
                            <w:sz w:val="20"/>
                          </w:rPr>
                          <w:t>integrity.</w:t>
                        </w:r>
                        <w:r>
                          <w:rPr>
                            <w:spacing w:val="-3"/>
                            <w:sz w:val="20"/>
                          </w:rPr>
                          <w:t> </w:t>
                        </w:r>
                        <w:r>
                          <w:rPr>
                            <w:sz w:val="20"/>
                          </w:rPr>
                          <w:t>Savings outlined in notes 2 and 3 reduced this requirement by</w:t>
                        </w:r>
                        <w:r>
                          <w:rPr>
                            <w:spacing w:val="-7"/>
                            <w:sz w:val="20"/>
                          </w:rPr>
                          <w:t> </w:t>
                        </w:r>
                        <w:r>
                          <w:rPr>
                            <w:sz w:val="20"/>
                          </w:rPr>
                          <w:t>$0.110M.</w:t>
                        </w:r>
                      </w:p>
                      <w:p>
                        <w:pPr>
                          <w:pStyle w:val="TableParagraph"/>
                          <w:numPr>
                            <w:ilvl w:val="0"/>
                            <w:numId w:val="7"/>
                          </w:numPr>
                          <w:tabs>
                            <w:tab w:pos="430" w:val="left" w:leader="none"/>
                            <w:tab w:pos="431" w:val="left" w:leader="none"/>
                          </w:tabs>
                          <w:spacing w:line="278" w:lineRule="auto" w:before="38" w:after="0"/>
                          <w:ind w:left="431" w:right="300" w:hanging="360"/>
                          <w:jc w:val="left"/>
                          <w:rPr>
                            <w:sz w:val="20"/>
                          </w:rPr>
                        </w:pPr>
                        <w:r>
                          <w:rPr>
                            <w:sz w:val="20"/>
                          </w:rPr>
                          <w:t>A</w:t>
                        </w:r>
                        <w:r>
                          <w:rPr>
                            <w:spacing w:val="-4"/>
                            <w:sz w:val="20"/>
                          </w:rPr>
                          <w:t> </w:t>
                        </w:r>
                        <w:r>
                          <w:rPr>
                            <w:sz w:val="20"/>
                          </w:rPr>
                          <w:t>decrease</w:t>
                        </w:r>
                        <w:r>
                          <w:rPr>
                            <w:spacing w:val="-3"/>
                            <w:sz w:val="20"/>
                          </w:rPr>
                          <w:t> </w:t>
                        </w:r>
                        <w:r>
                          <w:rPr>
                            <w:sz w:val="20"/>
                          </w:rPr>
                          <w:t>in</w:t>
                        </w:r>
                        <w:r>
                          <w:rPr>
                            <w:spacing w:val="-1"/>
                            <w:sz w:val="20"/>
                          </w:rPr>
                          <w:t> </w:t>
                        </w:r>
                        <w:r>
                          <w:rPr>
                            <w:sz w:val="20"/>
                          </w:rPr>
                          <w:t>Employee</w:t>
                        </w:r>
                        <w:r>
                          <w:rPr>
                            <w:spacing w:val="-1"/>
                            <w:sz w:val="20"/>
                          </w:rPr>
                          <w:t> </w:t>
                        </w:r>
                        <w:r>
                          <w:rPr>
                            <w:sz w:val="20"/>
                          </w:rPr>
                          <w:t>expenses</w:t>
                        </w:r>
                        <w:r>
                          <w:rPr>
                            <w:spacing w:val="-4"/>
                            <w:sz w:val="20"/>
                          </w:rPr>
                          <w:t> </w:t>
                        </w:r>
                        <w:r>
                          <w:rPr>
                            <w:sz w:val="20"/>
                          </w:rPr>
                          <w:t>primarily</w:t>
                        </w:r>
                        <w:r>
                          <w:rPr>
                            <w:spacing w:val="-1"/>
                            <w:sz w:val="20"/>
                          </w:rPr>
                          <w:t> </w:t>
                        </w:r>
                        <w:r>
                          <w:rPr>
                            <w:sz w:val="20"/>
                          </w:rPr>
                          <w:t>due</w:t>
                        </w:r>
                        <w:r>
                          <w:rPr>
                            <w:spacing w:val="-3"/>
                            <w:sz w:val="20"/>
                          </w:rPr>
                          <w:t> </w:t>
                        </w:r>
                        <w:r>
                          <w:rPr>
                            <w:sz w:val="20"/>
                          </w:rPr>
                          <w:t>to</w:t>
                        </w:r>
                        <w:r>
                          <w:rPr>
                            <w:spacing w:val="-2"/>
                            <w:sz w:val="20"/>
                          </w:rPr>
                          <w:t> </w:t>
                        </w:r>
                        <w:r>
                          <w:rPr>
                            <w:sz w:val="20"/>
                          </w:rPr>
                          <w:t>short-term</w:t>
                        </w:r>
                        <w:r>
                          <w:rPr>
                            <w:spacing w:val="-5"/>
                            <w:sz w:val="20"/>
                          </w:rPr>
                          <w:t> </w:t>
                        </w:r>
                        <w:r>
                          <w:rPr>
                            <w:sz w:val="20"/>
                          </w:rPr>
                          <w:t>vacancies</w:t>
                        </w:r>
                        <w:r>
                          <w:rPr>
                            <w:spacing w:val="-4"/>
                            <w:sz w:val="20"/>
                          </w:rPr>
                          <w:t> </w:t>
                        </w:r>
                        <w:r>
                          <w:rPr>
                            <w:sz w:val="20"/>
                          </w:rPr>
                          <w:t>held</w:t>
                        </w:r>
                        <w:r>
                          <w:rPr>
                            <w:spacing w:val="-2"/>
                            <w:sz w:val="20"/>
                          </w:rPr>
                          <w:t> </w:t>
                        </w:r>
                        <w:r>
                          <w:rPr>
                            <w:sz w:val="20"/>
                          </w:rPr>
                          <w:t>throughout</w:t>
                        </w:r>
                        <w:r>
                          <w:rPr>
                            <w:spacing w:val="-5"/>
                            <w:sz w:val="20"/>
                          </w:rPr>
                          <w:t> </w:t>
                        </w:r>
                        <w:r>
                          <w:rPr>
                            <w:sz w:val="20"/>
                          </w:rPr>
                          <w:t>the financial</w:t>
                        </w:r>
                        <w:r>
                          <w:rPr>
                            <w:spacing w:val="-2"/>
                            <w:sz w:val="20"/>
                          </w:rPr>
                          <w:t> </w:t>
                        </w:r>
                        <w:r>
                          <w:rPr>
                            <w:sz w:val="20"/>
                          </w:rPr>
                          <w:t>year.</w:t>
                        </w:r>
                      </w:p>
                      <w:p>
                        <w:pPr>
                          <w:pStyle w:val="TableParagraph"/>
                          <w:numPr>
                            <w:ilvl w:val="0"/>
                            <w:numId w:val="7"/>
                          </w:numPr>
                          <w:tabs>
                            <w:tab w:pos="430" w:val="left" w:leader="none"/>
                            <w:tab w:pos="431" w:val="left" w:leader="none"/>
                          </w:tabs>
                          <w:spacing w:line="276" w:lineRule="auto" w:before="37" w:after="0"/>
                          <w:ind w:left="431" w:right="228" w:hanging="360"/>
                          <w:jc w:val="left"/>
                          <w:rPr>
                            <w:sz w:val="20"/>
                          </w:rPr>
                        </w:pPr>
                        <w:r>
                          <w:rPr>
                            <w:sz w:val="20"/>
                          </w:rPr>
                          <w:t>A</w:t>
                        </w:r>
                        <w:r>
                          <w:rPr>
                            <w:spacing w:val="-4"/>
                            <w:sz w:val="20"/>
                          </w:rPr>
                          <w:t> </w:t>
                        </w:r>
                        <w:r>
                          <w:rPr>
                            <w:sz w:val="20"/>
                          </w:rPr>
                          <w:t>decrease</w:t>
                        </w:r>
                        <w:r>
                          <w:rPr>
                            <w:spacing w:val="-3"/>
                            <w:sz w:val="20"/>
                          </w:rPr>
                          <w:t> </w:t>
                        </w:r>
                        <w:r>
                          <w:rPr>
                            <w:sz w:val="20"/>
                          </w:rPr>
                          <w:t>in</w:t>
                        </w:r>
                        <w:r>
                          <w:rPr>
                            <w:spacing w:val="-1"/>
                            <w:sz w:val="20"/>
                          </w:rPr>
                          <w:t> </w:t>
                        </w:r>
                        <w:r>
                          <w:rPr>
                            <w:sz w:val="20"/>
                          </w:rPr>
                          <w:t>supplies</w:t>
                        </w:r>
                        <w:r>
                          <w:rPr>
                            <w:spacing w:val="-4"/>
                            <w:sz w:val="20"/>
                          </w:rPr>
                          <w:t> </w:t>
                        </w:r>
                        <w:r>
                          <w:rPr>
                            <w:sz w:val="20"/>
                          </w:rPr>
                          <w:t>and</w:t>
                        </w:r>
                        <w:r>
                          <w:rPr>
                            <w:spacing w:val="-2"/>
                            <w:sz w:val="20"/>
                          </w:rPr>
                          <w:t> </w:t>
                        </w:r>
                        <w:r>
                          <w:rPr>
                            <w:sz w:val="20"/>
                          </w:rPr>
                          <w:t>services</w:t>
                        </w:r>
                        <w:r>
                          <w:rPr>
                            <w:spacing w:val="-4"/>
                            <w:sz w:val="20"/>
                          </w:rPr>
                          <w:t> </w:t>
                        </w:r>
                        <w:r>
                          <w:rPr>
                            <w:sz w:val="20"/>
                          </w:rPr>
                          <w:t>primarily</w:t>
                        </w:r>
                        <w:r>
                          <w:rPr>
                            <w:spacing w:val="-1"/>
                            <w:sz w:val="20"/>
                          </w:rPr>
                          <w:t> </w:t>
                        </w:r>
                        <w:r>
                          <w:rPr>
                            <w:sz w:val="20"/>
                          </w:rPr>
                          <w:t>due</w:t>
                        </w:r>
                        <w:r>
                          <w:rPr>
                            <w:spacing w:val="-4"/>
                            <w:sz w:val="20"/>
                          </w:rPr>
                          <w:t> </w:t>
                        </w:r>
                        <w:r>
                          <w:rPr>
                            <w:sz w:val="20"/>
                          </w:rPr>
                          <w:t>to</w:t>
                        </w:r>
                        <w:r>
                          <w:rPr>
                            <w:spacing w:val="-2"/>
                            <w:sz w:val="20"/>
                          </w:rPr>
                          <w:t> </w:t>
                        </w:r>
                        <w:r>
                          <w:rPr>
                            <w:sz w:val="20"/>
                          </w:rPr>
                          <w:t>no</w:t>
                        </w:r>
                        <w:r>
                          <w:rPr>
                            <w:spacing w:val="-2"/>
                            <w:sz w:val="20"/>
                          </w:rPr>
                          <w:t> </w:t>
                        </w:r>
                        <w:r>
                          <w:rPr>
                            <w:sz w:val="20"/>
                          </w:rPr>
                          <w:t>requirement</w:t>
                        </w:r>
                        <w:r>
                          <w:rPr>
                            <w:spacing w:val="-2"/>
                            <w:sz w:val="20"/>
                          </w:rPr>
                          <w:t> </w:t>
                        </w:r>
                        <w:r>
                          <w:rPr>
                            <w:sz w:val="20"/>
                          </w:rPr>
                          <w:t>for</w:t>
                        </w:r>
                        <w:r>
                          <w:rPr>
                            <w:spacing w:val="-2"/>
                            <w:sz w:val="20"/>
                          </w:rPr>
                          <w:t> </w:t>
                        </w:r>
                        <w:r>
                          <w:rPr>
                            <w:sz w:val="20"/>
                          </w:rPr>
                          <w:t>consultancy</w:t>
                        </w:r>
                        <w:r>
                          <w:rPr>
                            <w:spacing w:val="-2"/>
                            <w:sz w:val="20"/>
                          </w:rPr>
                          <w:t> </w:t>
                        </w:r>
                        <w:r>
                          <w:rPr>
                            <w:sz w:val="20"/>
                          </w:rPr>
                          <w:t>fees</w:t>
                        </w:r>
                        <w:r>
                          <w:rPr>
                            <w:spacing w:val="-1"/>
                            <w:sz w:val="20"/>
                          </w:rPr>
                          <w:t> </w:t>
                        </w:r>
                        <w:r>
                          <w:rPr>
                            <w:sz w:val="20"/>
                          </w:rPr>
                          <w:t>or</w:t>
                        </w:r>
                        <w:r>
                          <w:rPr>
                            <w:spacing w:val="-3"/>
                            <w:sz w:val="20"/>
                          </w:rPr>
                          <w:t> </w:t>
                        </w:r>
                        <w:r>
                          <w:rPr>
                            <w:sz w:val="20"/>
                          </w:rPr>
                          <w:t>IT enhancements and lower than anticipated legal</w:t>
                        </w:r>
                        <w:r>
                          <w:rPr>
                            <w:spacing w:val="-4"/>
                            <w:sz w:val="20"/>
                          </w:rPr>
                          <w:t> </w:t>
                        </w:r>
                        <w:r>
                          <w:rPr>
                            <w:sz w:val="20"/>
                          </w:rPr>
                          <w:t>fees.</w:t>
                        </w:r>
                      </w:p>
                    </w:tc>
                  </w:tr>
                </w:tbl>
                <w:p>
                  <w:pPr>
                    <w:pStyle w:val="BodyText"/>
                  </w:pPr>
                </w:p>
              </w:txbxContent>
            </v:textbox>
            <w10:wrap type="none"/>
          </v:shape>
        </w:pict>
      </w:r>
      <w:r>
        <w:rPr>
          <w:color w:val="2CB99D"/>
          <w:sz w:val="32"/>
        </w:rPr>
        <w:t>C</w:t>
      </w:r>
      <w:r>
        <w:rPr>
          <w:color w:val="2CB99D"/>
        </w:rPr>
        <w:t>OMPLIANCE </w:t>
      </w:r>
      <w:r>
        <w:rPr>
          <w:color w:val="2CB99D"/>
          <w:sz w:val="32"/>
        </w:rPr>
        <w:t>D</w:t>
      </w:r>
      <w:r>
        <w:rPr>
          <w:color w:val="2CB99D"/>
        </w:rPr>
        <w:t>ISCLOSURES</w:t>
      </w:r>
    </w:p>
    <w:p>
      <w:pPr>
        <w:spacing w:before="23"/>
        <w:ind w:left="321" w:right="0" w:firstLine="0"/>
        <w:jc w:val="left"/>
        <w:rPr>
          <w:rFonts w:ascii="Gill Sans MT"/>
          <w:sz w:val="17"/>
        </w:rPr>
      </w:pPr>
      <w:r>
        <w:rPr>
          <w:rFonts w:ascii="Gill Sans MT"/>
          <w:color w:val="FF6621"/>
          <w:w w:val="105"/>
          <w:sz w:val="22"/>
        </w:rPr>
        <w:t>O</w:t>
      </w:r>
      <w:r>
        <w:rPr>
          <w:rFonts w:ascii="Gill Sans MT"/>
          <w:color w:val="FF6621"/>
          <w:w w:val="105"/>
          <w:sz w:val="17"/>
        </w:rPr>
        <w:t>THER </w:t>
      </w:r>
      <w:r>
        <w:rPr>
          <w:rFonts w:ascii="Gill Sans MT"/>
          <w:color w:val="FF6621"/>
          <w:w w:val="105"/>
          <w:sz w:val="22"/>
        </w:rPr>
        <w:t>C</w:t>
      </w:r>
      <w:r>
        <w:rPr>
          <w:rFonts w:ascii="Gill Sans MT"/>
          <w:color w:val="FF6621"/>
          <w:w w:val="105"/>
          <w:sz w:val="17"/>
        </w:rPr>
        <w:t>OMPLIANCE </w:t>
      </w:r>
      <w:r>
        <w:rPr>
          <w:rFonts w:ascii="Gill Sans MT"/>
          <w:color w:val="FF6621"/>
          <w:w w:val="105"/>
          <w:sz w:val="22"/>
        </w:rPr>
        <w:t>M</w:t>
      </w:r>
      <w:r>
        <w:rPr>
          <w:rFonts w:ascii="Gill Sans MT"/>
          <w:color w:val="FF6621"/>
          <w:w w:val="105"/>
          <w:sz w:val="17"/>
        </w:rPr>
        <w:t>ATTERS</w:t>
      </w:r>
    </w:p>
    <w:p>
      <w:pPr>
        <w:pStyle w:val="BodyText"/>
        <w:spacing w:line="276" w:lineRule="auto" w:before="194"/>
        <w:ind w:left="321" w:right="9506"/>
      </w:pPr>
      <w:r>
        <w:rPr/>
        <w:t>A copy of the Records Retention and Disposal Schedule (QDAN 629 v.3) developed for the Queensland Integrity Commissioner, and approved by the Queensland State Archivist on 22 November 2013, is available on the</w:t>
      </w:r>
    </w:p>
    <w:p>
      <w:pPr>
        <w:spacing w:line="276" w:lineRule="auto" w:before="0"/>
        <w:ind w:left="321" w:right="9154" w:firstLine="0"/>
        <w:jc w:val="left"/>
        <w:rPr>
          <w:sz w:val="20"/>
        </w:rPr>
      </w:pPr>
      <w:r>
        <w:rPr>
          <w:sz w:val="20"/>
        </w:rPr>
        <w:t>Queensland State Archives website,</w:t>
      </w:r>
      <w:r>
        <w:rPr>
          <w:color w:val="0000FF"/>
          <w:sz w:val="20"/>
          <w:u w:val="single" w:color="0000FF"/>
        </w:rPr>
        <w:t> </w:t>
      </w:r>
      <w:hyperlink r:id="rId43">
        <w:r>
          <w:rPr>
            <w:color w:val="0000FF"/>
            <w:sz w:val="20"/>
            <w:u w:val="single" w:color="0000FF"/>
          </w:rPr>
          <w:t>www.archives.qld.gov.au</w:t>
        </w:r>
        <w:r>
          <w:rPr>
            <w:sz w:val="20"/>
          </w:rPr>
          <w:t>. </w:t>
        </w:r>
      </w:hyperlink>
      <w:r>
        <w:rPr>
          <w:sz w:val="20"/>
        </w:rPr>
        <w:t>No public interest disclosures under the </w:t>
      </w:r>
      <w:r>
        <w:rPr>
          <w:i/>
          <w:sz w:val="20"/>
        </w:rPr>
        <w:t>Public Interest Disclosure Act 2010 </w:t>
      </w:r>
      <w:r>
        <w:rPr>
          <w:sz w:val="20"/>
        </w:rPr>
        <w:t>were received by the</w:t>
      </w:r>
    </w:p>
    <w:p>
      <w:pPr>
        <w:pStyle w:val="BodyText"/>
        <w:ind w:left="321"/>
        <w:rPr>
          <w:i/>
        </w:rPr>
      </w:pPr>
      <w:r>
        <w:rPr/>
        <w:t>Integrity Commissioner. One application was received under the </w:t>
      </w:r>
      <w:r>
        <w:rPr>
          <w:i/>
        </w:rPr>
        <w:t>Right to</w:t>
      </w:r>
    </w:p>
    <w:p>
      <w:pPr>
        <w:spacing w:before="36"/>
        <w:ind w:left="321" w:right="0" w:firstLine="0"/>
        <w:jc w:val="left"/>
        <w:rPr>
          <w:sz w:val="20"/>
        </w:rPr>
      </w:pPr>
      <w:r>
        <w:rPr>
          <w:i/>
          <w:sz w:val="20"/>
        </w:rPr>
        <w:t>Information Act 2009 </w:t>
      </w:r>
      <w:r>
        <w:rPr>
          <w:sz w:val="20"/>
        </w:rPr>
        <w:t>in relation to lobbying. However, no applications were</w:t>
      </w:r>
    </w:p>
    <w:p>
      <w:pPr>
        <w:spacing w:before="37"/>
        <w:ind w:left="321" w:right="0" w:firstLine="0"/>
        <w:jc w:val="left"/>
        <w:rPr>
          <w:sz w:val="20"/>
        </w:rPr>
      </w:pPr>
      <w:r>
        <w:rPr>
          <w:sz w:val="20"/>
        </w:rPr>
        <w:t>received in relation to the advice functions of the </w:t>
      </w:r>
      <w:r>
        <w:rPr>
          <w:i/>
          <w:sz w:val="20"/>
        </w:rPr>
        <w:t>Integrity Act 2009 </w:t>
      </w:r>
      <w:r>
        <w:rPr>
          <w:sz w:val="20"/>
        </w:rPr>
        <w:t>and no</w:t>
      </w:r>
    </w:p>
    <w:p>
      <w:pPr>
        <w:pStyle w:val="BodyText"/>
        <w:spacing w:line="276" w:lineRule="auto" w:before="37"/>
        <w:ind w:left="321" w:right="9154"/>
      </w:pPr>
      <w:r>
        <w:rPr/>
        <w:t>information can be provided about the Integrity Commissioner’s activities under Chapter 3 of the </w:t>
      </w:r>
      <w:r>
        <w:rPr>
          <w:i/>
        </w:rPr>
        <w:t>Integrity Act 2009</w:t>
      </w:r>
      <w:r>
        <w:rPr/>
        <w:t>. This Annual Report and previous reports</w:t>
      </w:r>
    </w:p>
    <w:p>
      <w:pPr>
        <w:pStyle w:val="BodyText"/>
        <w:ind w:left="321"/>
      </w:pPr>
      <w:r>
        <w:rPr/>
        <w:t>from the Integrity Commissioner are available online at:</w:t>
      </w:r>
    </w:p>
    <w:p>
      <w:pPr>
        <w:pStyle w:val="BodyText"/>
        <w:spacing w:before="37"/>
        <w:ind w:left="321"/>
      </w:pPr>
      <w:r>
        <w:rPr/>
        <w:pict>
          <v:group style="position:absolute;margin-left:35.956001pt;margin-top:18.241486pt;width:343.8pt;height:96.85pt;mso-position-horizontal-relative:page;mso-position-vertical-relative:paragraph;z-index:1304;mso-wrap-distance-left:0;mso-wrap-distance-right:0" coordorigin="719,365" coordsize="6876,1937">
            <v:shape style="position:absolute;left:719;top:364;width:6876;height:1937" coordorigin="719,365" coordsize="6876,1937" path="m7422,365l891,365,824,378,770,415,733,470,719,537,719,2129,733,2196,770,2251,824,2288,891,2301,7422,2301,7489,2288,7544,2251,7581,2196,7594,2129,7594,537,7581,470,7544,415,7489,378,7422,365xe" filled="true" fillcolor="#d9d9d9" stroked="false">
              <v:path arrowok="t"/>
              <v:fill type="solid"/>
            </v:shape>
            <v:shape style="position:absolute;left:719;top:364;width:6876;height:1937" type="#_x0000_t202" filled="false" stroked="false">
              <v:textbox inset="0,0,0,0">
                <w:txbxContent>
                  <w:p>
                    <w:pPr>
                      <w:spacing w:before="157"/>
                      <w:ind w:left="142" w:right="0" w:firstLine="0"/>
                      <w:jc w:val="left"/>
                      <w:rPr>
                        <w:rFonts w:ascii="Gill Sans MT"/>
                        <w:sz w:val="17"/>
                      </w:rPr>
                    </w:pPr>
                    <w:r>
                      <w:rPr>
                        <w:rFonts w:ascii="Gill Sans MT"/>
                        <w:color w:val="FF6621"/>
                        <w:w w:val="105"/>
                        <w:sz w:val="22"/>
                      </w:rPr>
                      <w:t>M</w:t>
                    </w:r>
                    <w:r>
                      <w:rPr>
                        <w:rFonts w:ascii="Gill Sans MT"/>
                        <w:color w:val="FF6621"/>
                        <w:w w:val="105"/>
                        <w:sz w:val="17"/>
                      </w:rPr>
                      <w:t>INISTERIAL </w:t>
                    </w:r>
                    <w:r>
                      <w:rPr>
                        <w:rFonts w:ascii="Gill Sans MT"/>
                        <w:color w:val="FF6621"/>
                        <w:w w:val="105"/>
                        <w:sz w:val="22"/>
                      </w:rPr>
                      <w:t>C</w:t>
                    </w:r>
                    <w:r>
                      <w:rPr>
                        <w:rFonts w:ascii="Gill Sans MT"/>
                        <w:color w:val="FF6621"/>
                        <w:w w:val="105"/>
                        <w:sz w:val="17"/>
                      </w:rPr>
                      <w:t>ODE OF </w:t>
                    </w:r>
                    <w:r>
                      <w:rPr>
                        <w:rFonts w:ascii="Gill Sans MT"/>
                        <w:color w:val="FF6621"/>
                        <w:w w:val="105"/>
                        <w:sz w:val="22"/>
                      </w:rPr>
                      <w:t>C</w:t>
                    </w:r>
                    <w:r>
                      <w:rPr>
                        <w:rFonts w:ascii="Gill Sans MT"/>
                        <w:color w:val="FF6621"/>
                        <w:w w:val="105"/>
                        <w:sz w:val="17"/>
                      </w:rPr>
                      <w:t>ONDUCT</w:t>
                    </w:r>
                  </w:p>
                  <w:p>
                    <w:pPr>
                      <w:spacing w:line="276" w:lineRule="auto" w:before="193"/>
                      <w:ind w:left="142" w:right="0" w:firstLine="0"/>
                      <w:jc w:val="left"/>
                      <w:rPr>
                        <w:sz w:val="20"/>
                      </w:rPr>
                    </w:pPr>
                    <w:r>
                      <w:rPr>
                        <w:sz w:val="20"/>
                      </w:rPr>
                      <w:t>Under the Ministerial Code of Conduct, Ministers and Assistant Ministers are obliged to meet with the Integrity Commissioner at least once each year. During the financial year, the Integrity Commissioner had meetings with or provided advice to each Minister and Assistant Minister.</w:t>
                    </w:r>
                  </w:p>
                </w:txbxContent>
              </v:textbox>
              <w10:wrap type="none"/>
            </v:shape>
            <w10:wrap type="topAndBottom"/>
          </v:group>
        </w:pict>
      </w:r>
      <w:r>
        <w:rPr>
          <w:rFonts w:ascii="Times New Roman"/>
          <w:color w:val="0000FF"/>
          <w:w w:val="99"/>
          <w:u w:val="single" w:color="0000FF"/>
        </w:rPr>
        <w:t> </w:t>
      </w:r>
      <w:hyperlink r:id="rId44">
        <w:r>
          <w:rPr>
            <w:color w:val="0000FF"/>
            <w:u w:val="single" w:color="0000FF"/>
          </w:rPr>
          <w:t>www.integrity.qld.gov.au/publications/annual-reports.aspx</w:t>
        </w:r>
        <w:r>
          <w:rPr/>
          <w:t>.</w:t>
        </w:r>
      </w:hyperlink>
    </w:p>
    <w:p>
      <w:pPr>
        <w:spacing w:after="0"/>
        <w:sectPr>
          <w:pgSz w:w="16840" w:h="11910" w:orient="landscape"/>
          <w:pgMar w:header="0" w:footer="310" w:top="660" w:bottom="500" w:left="540" w:right="260"/>
        </w:sectPr>
      </w:pPr>
    </w:p>
    <w:p>
      <w:pPr>
        <w:pStyle w:val="BodyText"/>
        <w:ind w:left="179"/>
      </w:pPr>
      <w:r>
        <w:rPr/>
        <w:drawing>
          <wp:inline distT="0" distB="0" distL="0" distR="0">
            <wp:extent cx="9820494" cy="2688336"/>
            <wp:effectExtent l="0" t="0" r="0" b="0"/>
            <wp:docPr id="39" name="image35.jpeg" descr=""/>
            <wp:cNvGraphicFramePr>
              <a:graphicFrameLocks noChangeAspect="1"/>
            </wp:cNvGraphicFramePr>
            <a:graphic>
              <a:graphicData uri="http://schemas.openxmlformats.org/drawingml/2006/picture">
                <pic:pic>
                  <pic:nvPicPr>
                    <pic:cNvPr id="40" name="image35.jpeg"/>
                    <pic:cNvPicPr/>
                  </pic:nvPicPr>
                  <pic:blipFill>
                    <a:blip r:embed="rId45" cstate="print"/>
                    <a:stretch>
                      <a:fillRect/>
                    </a:stretch>
                  </pic:blipFill>
                  <pic:spPr>
                    <a:xfrm>
                      <a:off x="0" y="0"/>
                      <a:ext cx="9820494" cy="2688336"/>
                    </a:xfrm>
                    <a:prstGeom prst="rect">
                      <a:avLst/>
                    </a:prstGeom>
                  </pic:spPr>
                </pic:pic>
              </a:graphicData>
            </a:graphic>
          </wp:inline>
        </w:drawing>
      </w:r>
      <w:r>
        <w:rPr/>
      </w:r>
    </w:p>
    <w:p>
      <w:pPr>
        <w:pStyle w:val="BodyText"/>
        <w:spacing w:before="7"/>
        <w:rPr>
          <w:sz w:val="13"/>
        </w:rPr>
      </w:pPr>
    </w:p>
    <w:p>
      <w:pPr>
        <w:spacing w:after="0"/>
        <w:rPr>
          <w:sz w:val="13"/>
        </w:rPr>
        <w:sectPr>
          <w:pgSz w:w="16840" w:h="11910" w:orient="landscape"/>
          <w:pgMar w:header="0" w:footer="310" w:top="720" w:bottom="540" w:left="540" w:right="260"/>
        </w:sectPr>
      </w:pPr>
    </w:p>
    <w:p>
      <w:pPr>
        <w:pStyle w:val="Heading2"/>
        <w:spacing w:before="100"/>
        <w:ind w:left="235"/>
      </w:pPr>
      <w:r>
        <w:rPr>
          <w:color w:val="2CB99D"/>
          <w:sz w:val="32"/>
        </w:rPr>
        <w:t>A</w:t>
      </w:r>
      <w:r>
        <w:rPr>
          <w:color w:val="2CB99D"/>
        </w:rPr>
        <w:t>BOUT THIS </w:t>
      </w:r>
      <w:r>
        <w:rPr>
          <w:color w:val="2CB99D"/>
          <w:sz w:val="32"/>
        </w:rPr>
        <w:t>R</w:t>
      </w:r>
      <w:r>
        <w:rPr>
          <w:color w:val="2CB99D"/>
        </w:rPr>
        <w:t>EPORT</w:t>
      </w:r>
    </w:p>
    <w:p>
      <w:pPr>
        <w:pStyle w:val="BodyText"/>
        <w:spacing w:line="276" w:lineRule="auto" w:before="204"/>
        <w:ind w:left="235" w:right="547"/>
      </w:pPr>
      <w:r>
        <w:rPr/>
        <w:t>The Annual Report provides information about the Integrity Commissioner’s financial and non-financial</w:t>
      </w:r>
    </w:p>
    <w:p>
      <w:pPr>
        <w:spacing w:line="276" w:lineRule="auto" w:before="0"/>
        <w:ind w:left="235" w:right="20" w:firstLine="0"/>
        <w:jc w:val="left"/>
        <w:rPr>
          <w:sz w:val="20"/>
        </w:rPr>
      </w:pPr>
      <w:r>
        <w:rPr>
          <w:sz w:val="20"/>
        </w:rPr>
        <w:t>performance for 2018–2019. It has been prepared in accordance with the </w:t>
      </w:r>
      <w:r>
        <w:rPr>
          <w:i/>
          <w:sz w:val="20"/>
        </w:rPr>
        <w:t>Financial Accountability Act 2009 </w:t>
      </w:r>
      <w:r>
        <w:rPr>
          <w:sz w:val="20"/>
        </w:rPr>
        <w:t>and the </w:t>
      </w:r>
      <w:r>
        <w:rPr>
          <w:i/>
          <w:sz w:val="20"/>
        </w:rPr>
        <w:t>Financial and Performance Management Standard </w:t>
      </w:r>
      <w:r>
        <w:rPr>
          <w:i/>
          <w:sz w:val="20"/>
        </w:rPr>
        <w:t>2009</w:t>
      </w:r>
      <w:r>
        <w:rPr>
          <w:sz w:val="20"/>
        </w:rPr>
        <w:t>.</w:t>
      </w:r>
    </w:p>
    <w:p>
      <w:pPr>
        <w:pStyle w:val="BodyText"/>
        <w:spacing w:before="120"/>
        <w:ind w:left="235"/>
      </w:pPr>
      <w:r>
        <w:rPr/>
        <w:t>The Annual Report has been prepared for the Speaker and</w:t>
      </w:r>
    </w:p>
    <w:p>
      <w:pPr>
        <w:pStyle w:val="BodyText"/>
        <w:spacing w:before="37"/>
        <w:ind w:left="235"/>
      </w:pPr>
      <w:r>
        <w:rPr/>
        <w:t>the Economics and Governance Committee for tabling in</w:t>
      </w:r>
    </w:p>
    <w:p>
      <w:pPr>
        <w:pStyle w:val="BodyText"/>
        <w:spacing w:before="37"/>
        <w:ind w:left="235"/>
      </w:pPr>
      <w:r>
        <w:rPr/>
        <w:t>the Legislative Assembly.</w:t>
      </w:r>
    </w:p>
    <w:p>
      <w:pPr>
        <w:pStyle w:val="BodyText"/>
        <w:spacing w:line="276" w:lineRule="auto" w:before="157"/>
        <w:ind w:left="235" w:right="20"/>
      </w:pPr>
      <w:r>
        <w:rPr/>
        <w:t>The Queensland Government is committed to providing accessible services to Queenslanders from all cultural and linguistically diverse backgrounds. If you have difficulty understanding the Annual Report, you can contact us on 07 3003 2888 and we will arrange an interpreter to</w:t>
      </w:r>
    </w:p>
    <w:p>
      <w:pPr>
        <w:pStyle w:val="BodyText"/>
        <w:ind w:left="235"/>
      </w:pPr>
      <w:r>
        <w:rPr/>
        <w:t>effectively interpret it.</w:t>
      </w:r>
    </w:p>
    <w:p>
      <w:pPr>
        <w:pStyle w:val="BodyText"/>
        <w:spacing w:before="157"/>
        <w:ind w:left="235"/>
      </w:pPr>
      <w:r>
        <w:rPr/>
        <w:t>Copies of this publication can be obtained from</w:t>
      </w:r>
    </w:p>
    <w:p>
      <w:pPr>
        <w:pStyle w:val="BodyText"/>
        <w:spacing w:before="37"/>
        <w:ind w:left="235"/>
      </w:pPr>
      <w:hyperlink r:id="rId46">
        <w:r>
          <w:rPr>
            <w:rFonts w:ascii="Times New Roman"/>
            <w:color w:val="0000FF"/>
            <w:w w:val="99"/>
            <w:u w:val="single" w:color="0000FF"/>
          </w:rPr>
          <w:t> </w:t>
        </w:r>
        <w:r>
          <w:rPr>
            <w:color w:val="0000FF"/>
            <w:u w:val="single" w:color="0000FF"/>
          </w:rPr>
          <w:t>www.integrity.qld.gov.au</w:t>
        </w:r>
        <w:r>
          <w:rPr>
            <w:color w:val="0000FF"/>
          </w:rPr>
          <w:t> </w:t>
        </w:r>
      </w:hyperlink>
      <w:r>
        <w:rPr/>
        <w:t>or by contacting 07 3003 2888.</w:t>
      </w:r>
    </w:p>
    <w:p>
      <w:pPr>
        <w:pStyle w:val="BodyText"/>
      </w:pPr>
      <w:r>
        <w:rPr/>
        <w:br w:type="column"/>
      </w:r>
      <w:r>
        <w:rPr/>
      </w:r>
    </w:p>
    <w:p>
      <w:pPr>
        <w:pStyle w:val="BodyText"/>
      </w:pPr>
    </w:p>
    <w:p>
      <w:pPr>
        <w:pStyle w:val="Heading4"/>
        <w:spacing w:before="127"/>
        <w:ind w:left="292"/>
      </w:pPr>
      <w:r>
        <w:rPr/>
        <w:t>Licence</w:t>
      </w:r>
    </w:p>
    <w:p>
      <w:pPr>
        <w:pStyle w:val="BodyText"/>
        <w:rPr>
          <w:b/>
          <w:sz w:val="9"/>
        </w:rPr>
      </w:pPr>
      <w:r>
        <w:rPr/>
        <w:drawing>
          <wp:anchor distT="0" distB="0" distL="0" distR="0" allowOverlap="1" layoutInCell="1" locked="0" behindDoc="0" simplePos="0" relativeHeight="100">
            <wp:simplePos x="0" y="0"/>
            <wp:positionH relativeFrom="page">
              <wp:posOffset>3790822</wp:posOffset>
            </wp:positionH>
            <wp:positionV relativeFrom="paragraph">
              <wp:posOffset>94543</wp:posOffset>
            </wp:positionV>
            <wp:extent cx="829568" cy="289369"/>
            <wp:effectExtent l="0" t="0" r="0" b="0"/>
            <wp:wrapTopAndBottom/>
            <wp:docPr id="41" name="image36.png" descr=""/>
            <wp:cNvGraphicFramePr>
              <a:graphicFrameLocks noChangeAspect="1"/>
            </wp:cNvGraphicFramePr>
            <a:graphic>
              <a:graphicData uri="http://schemas.openxmlformats.org/drawingml/2006/picture">
                <pic:pic>
                  <pic:nvPicPr>
                    <pic:cNvPr id="42" name="image36.png"/>
                    <pic:cNvPicPr/>
                  </pic:nvPicPr>
                  <pic:blipFill>
                    <a:blip r:embed="rId47" cstate="print"/>
                    <a:stretch>
                      <a:fillRect/>
                    </a:stretch>
                  </pic:blipFill>
                  <pic:spPr>
                    <a:xfrm>
                      <a:off x="0" y="0"/>
                      <a:ext cx="829568" cy="289369"/>
                    </a:xfrm>
                    <a:prstGeom prst="rect">
                      <a:avLst/>
                    </a:prstGeom>
                  </pic:spPr>
                </pic:pic>
              </a:graphicData>
            </a:graphic>
          </wp:anchor>
        </w:drawing>
      </w:r>
    </w:p>
    <w:p>
      <w:pPr>
        <w:pStyle w:val="BodyText"/>
        <w:spacing w:before="9"/>
        <w:rPr>
          <w:b/>
          <w:sz w:val="16"/>
        </w:rPr>
      </w:pPr>
    </w:p>
    <w:p>
      <w:pPr>
        <w:pStyle w:val="BodyText"/>
        <w:spacing w:line="276" w:lineRule="auto"/>
        <w:ind w:left="292" w:right="15"/>
      </w:pPr>
      <w:r>
        <w:rPr/>
        <w:t>This Annual Report is licensed by the State of Queensland (Queensland Integrity Commissioner) under a Creative Commons Attribution 4.0 International License.</w:t>
      </w:r>
    </w:p>
    <w:p>
      <w:pPr>
        <w:pStyle w:val="BodyText"/>
        <w:spacing w:before="120"/>
        <w:ind w:left="292"/>
      </w:pPr>
      <w:r>
        <w:rPr/>
        <w:t>To view a copy of this licence, visit:</w:t>
      </w:r>
    </w:p>
    <w:p>
      <w:pPr>
        <w:pStyle w:val="BodyText"/>
        <w:spacing w:before="37"/>
        <w:ind w:left="291"/>
      </w:pPr>
      <w:r>
        <w:rPr>
          <w:rFonts w:ascii="Times New Roman"/>
          <w:color w:val="0000FF"/>
          <w:w w:val="99"/>
          <w:u w:val="single" w:color="0000FF"/>
        </w:rPr>
        <w:t> </w:t>
      </w:r>
      <w:hyperlink r:id="rId48">
        <w:r>
          <w:rPr>
            <w:color w:val="0000FF"/>
            <w:u w:val="single" w:color="0000FF"/>
          </w:rPr>
          <w:t>http://creativecommons.org/licenses/by/4.0/</w:t>
        </w:r>
      </w:hyperlink>
    </w:p>
    <w:p>
      <w:pPr>
        <w:pStyle w:val="BodyText"/>
      </w:pPr>
      <w:r>
        <w:rPr/>
        <w:br w:type="column"/>
      </w:r>
      <w:r>
        <w:rPr/>
      </w:r>
    </w:p>
    <w:p>
      <w:pPr>
        <w:pStyle w:val="BodyText"/>
      </w:pPr>
    </w:p>
    <w:p>
      <w:pPr>
        <w:pStyle w:val="BodyText"/>
        <w:spacing w:before="1"/>
        <w:rPr>
          <w:sz w:val="17"/>
        </w:rPr>
      </w:pPr>
    </w:p>
    <w:p>
      <w:pPr>
        <w:pStyle w:val="Heading4"/>
      </w:pPr>
      <w:r>
        <w:rPr/>
        <w:t>Attribution</w:t>
      </w:r>
    </w:p>
    <w:p>
      <w:pPr>
        <w:pStyle w:val="BodyText"/>
        <w:spacing w:line="400" w:lineRule="atLeast" w:before="1"/>
        <w:ind w:left="236" w:right="604"/>
      </w:pPr>
      <w:r>
        <w:rPr/>
        <w:t>©The State of Queensland (Integrity Commissioner) 2019 The Queensland Government supports and encourages</w:t>
      </w:r>
    </w:p>
    <w:p>
      <w:pPr>
        <w:pStyle w:val="BodyText"/>
        <w:spacing w:line="276" w:lineRule="auto" w:before="37"/>
        <w:ind w:left="236"/>
      </w:pPr>
      <w:r>
        <w:rPr/>
        <w:t>the dissemination and exchange of information. However, copyright protects this document.</w:t>
      </w:r>
    </w:p>
    <w:p>
      <w:pPr>
        <w:pStyle w:val="BodyText"/>
        <w:spacing w:line="276" w:lineRule="auto" w:before="120"/>
        <w:ind w:left="236" w:right="566"/>
      </w:pPr>
      <w:r>
        <w:rPr/>
        <w:pict>
          <v:group style="position:absolute;margin-left:294.350006pt;margin-top:60.621483pt;width:255.3pt;height:110.05pt;mso-position-horizontal-relative:page;mso-position-vertical-relative:paragraph;z-index:3472" coordorigin="5887,1212" coordsize="5106,2201">
            <v:shape style="position:absolute;left:5887;top:1212;width:5106;height:2201" coordorigin="5887,1212" coordsize="5106,2201" path="m10626,1212l6254,1212,6180,1220,6111,1241,6049,1275,5994,1320,5950,1374,5916,1436,5894,1505,5887,1579,5887,3046,5894,3120,5916,3189,5950,3251,5994,3305,6049,3350,6111,3384,6180,3405,6254,3413,10626,3413,10699,3405,10768,3384,10831,3350,10885,3305,10930,3251,10963,3189,10985,3120,10992,3046,10992,1579,10985,1505,10963,1436,10930,1374,10885,1320,10831,1275,10768,1241,10699,1220,10626,1212xe" filled="true" fillcolor="#d9d9d9" stroked="false">
              <v:path arrowok="t"/>
              <v:fill type="solid"/>
            </v:shape>
            <v:shape style="position:absolute;left:5887;top:1212;width:5106;height:2201" type="#_x0000_t202" filled="false" stroked="false">
              <v:textbox inset="0,0,0,0">
                <w:txbxContent>
                  <w:p>
                    <w:pPr>
                      <w:spacing w:before="149"/>
                      <w:ind w:left="140" w:right="0" w:firstLine="0"/>
                      <w:jc w:val="left"/>
                      <w:rPr>
                        <w:b/>
                        <w:sz w:val="20"/>
                      </w:rPr>
                    </w:pPr>
                    <w:r>
                      <w:rPr>
                        <w:b/>
                        <w:sz w:val="20"/>
                      </w:rPr>
                      <w:t>Our office location and contact details are:</w:t>
                    </w:r>
                  </w:p>
                  <w:p>
                    <w:pPr>
                      <w:spacing w:before="77"/>
                      <w:ind w:left="140" w:right="0" w:firstLine="0"/>
                      <w:jc w:val="left"/>
                      <w:rPr>
                        <w:sz w:val="20"/>
                      </w:rPr>
                    </w:pPr>
                    <w:r>
                      <w:rPr>
                        <w:sz w:val="20"/>
                      </w:rPr>
                      <w:t>Level 13, 53 Albert Street</w:t>
                    </w:r>
                  </w:p>
                  <w:p>
                    <w:pPr>
                      <w:spacing w:before="75"/>
                      <w:ind w:left="140" w:right="0" w:firstLine="0"/>
                      <w:jc w:val="left"/>
                      <w:rPr>
                        <w:sz w:val="20"/>
                      </w:rPr>
                    </w:pPr>
                    <w:r>
                      <w:rPr>
                        <w:sz w:val="20"/>
                      </w:rPr>
                      <w:t>Brisbane QLD 4000</w:t>
                    </w:r>
                  </w:p>
                  <w:p>
                    <w:pPr>
                      <w:spacing w:before="78"/>
                      <w:ind w:left="140" w:right="0" w:firstLine="0"/>
                      <w:jc w:val="left"/>
                      <w:rPr>
                        <w:sz w:val="20"/>
                      </w:rPr>
                    </w:pPr>
                    <w:r>
                      <w:rPr>
                        <w:sz w:val="20"/>
                      </w:rPr>
                      <w:t>T: 07 3003 2888</w:t>
                    </w:r>
                  </w:p>
                  <w:p>
                    <w:pPr>
                      <w:spacing w:before="75"/>
                      <w:ind w:left="140" w:right="0" w:firstLine="0"/>
                      <w:jc w:val="left"/>
                      <w:rPr>
                        <w:sz w:val="20"/>
                      </w:rPr>
                    </w:pPr>
                    <w:r>
                      <w:rPr>
                        <w:sz w:val="20"/>
                      </w:rPr>
                      <w:t>E:</w:t>
                    </w:r>
                    <w:r>
                      <w:rPr>
                        <w:color w:val="0000FF"/>
                        <w:sz w:val="20"/>
                        <w:u w:val="single" w:color="0000FF"/>
                      </w:rPr>
                      <w:t> </w:t>
                    </w:r>
                    <w:hyperlink r:id="rId49">
                      <w:r>
                        <w:rPr>
                          <w:color w:val="0000FF"/>
                          <w:sz w:val="20"/>
                          <w:u w:val="single" w:color="0000FF"/>
                        </w:rPr>
                        <w:t>integrity.commissioner@integrity.qld.gov.au</w:t>
                      </w:r>
                    </w:hyperlink>
                  </w:p>
                  <w:p>
                    <w:pPr>
                      <w:spacing w:before="78"/>
                      <w:ind w:left="140" w:right="0" w:firstLine="0"/>
                      <w:jc w:val="left"/>
                      <w:rPr>
                        <w:sz w:val="20"/>
                      </w:rPr>
                    </w:pPr>
                    <w:r>
                      <w:rPr>
                        <w:sz w:val="20"/>
                      </w:rPr>
                      <w:t>W:</w:t>
                    </w:r>
                    <w:r>
                      <w:rPr>
                        <w:color w:val="0000FF"/>
                        <w:sz w:val="20"/>
                        <w:u w:val="single" w:color="0000FF"/>
                      </w:rPr>
                      <w:t> </w:t>
                    </w:r>
                    <w:hyperlink r:id="rId46">
                      <w:r>
                        <w:rPr>
                          <w:color w:val="0000FF"/>
                          <w:sz w:val="20"/>
                          <w:u w:val="single" w:color="0000FF"/>
                        </w:rPr>
                        <w:t>www.integrity.qld.gov.au</w:t>
                      </w:r>
                    </w:hyperlink>
                  </w:p>
                </w:txbxContent>
              </v:textbox>
              <w10:wrap type="none"/>
            </v:shape>
            <w10:wrap type="none"/>
          </v:group>
        </w:pict>
      </w:r>
      <w:r>
        <w:rPr/>
        <w:t>The State of Queensland has no objection to this material being reproduced, made available online or electronically but only if it is recognised as the owner of the copyright and this material remains unaltered.</w:t>
      </w:r>
    </w:p>
    <w:p>
      <w:pPr>
        <w:pStyle w:val="BodyText"/>
        <w:spacing w:line="276" w:lineRule="auto" w:before="121"/>
        <w:ind w:left="236" w:right="1032"/>
      </w:pPr>
      <w:r>
        <w:rPr/>
        <w:t>Copyright enquiries about this publication should be directed to the office of the Queensland Integrity Commissioner by email to:</w:t>
      </w:r>
    </w:p>
    <w:p>
      <w:pPr>
        <w:pStyle w:val="BodyText"/>
        <w:spacing w:line="276" w:lineRule="auto"/>
        <w:ind w:left="236" w:right="566" w:hanging="2"/>
      </w:pPr>
      <w:r>
        <w:rPr>
          <w:rFonts w:ascii="Times New Roman"/>
          <w:color w:val="0000FF"/>
          <w:w w:val="99"/>
          <w:u w:val="single" w:color="0000FF"/>
        </w:rPr>
        <w:t> </w:t>
      </w:r>
      <w:hyperlink r:id="rId49">
        <w:r>
          <w:rPr>
            <w:color w:val="0000FF"/>
            <w:u w:val="single" w:color="0000FF"/>
          </w:rPr>
          <w:t>integrity.commissioner@integrity.qld.gov.au</w:t>
        </w:r>
        <w:r>
          <w:rPr>
            <w:color w:val="0000FF"/>
          </w:rPr>
          <w:t> </w:t>
        </w:r>
      </w:hyperlink>
      <w:r>
        <w:rPr/>
        <w:t>or in writing to Level 13, 53 Albert Street, Brisbane, Qld, 4000.</w:t>
      </w:r>
    </w:p>
    <w:p>
      <w:pPr>
        <w:spacing w:after="0" w:line="276" w:lineRule="auto"/>
        <w:sectPr>
          <w:type w:val="continuous"/>
          <w:pgSz w:w="16840" w:h="11910" w:orient="landscape"/>
          <w:pgMar w:top="960" w:bottom="280" w:left="540" w:right="260"/>
          <w:cols w:num="3" w:equalWidth="0">
            <w:col w:w="5013" w:space="182"/>
            <w:col w:w="5006" w:space="301"/>
            <w:col w:w="5538"/>
          </w:cols>
        </w:sectPr>
      </w:pPr>
    </w:p>
    <w:p>
      <w:pPr>
        <w:pStyle w:val="BodyText"/>
      </w:pPr>
      <w:r>
        <w:rPr/>
        <w:drawing>
          <wp:anchor distT="0" distB="0" distL="0" distR="0" allowOverlap="1" layoutInCell="1" locked="0" behindDoc="0" simplePos="0" relativeHeight="3496">
            <wp:simplePos x="0" y="0"/>
            <wp:positionH relativeFrom="page">
              <wp:posOffset>6304372</wp:posOffset>
            </wp:positionH>
            <wp:positionV relativeFrom="page">
              <wp:posOffset>228155</wp:posOffset>
            </wp:positionV>
            <wp:extent cx="4158459" cy="7102856"/>
            <wp:effectExtent l="0" t="0" r="0" b="0"/>
            <wp:wrapNone/>
            <wp:docPr id="43" name="image37.jpeg" descr=""/>
            <wp:cNvGraphicFramePr>
              <a:graphicFrameLocks noChangeAspect="1"/>
            </wp:cNvGraphicFramePr>
            <a:graphic>
              <a:graphicData uri="http://schemas.openxmlformats.org/drawingml/2006/picture">
                <pic:pic>
                  <pic:nvPicPr>
                    <pic:cNvPr id="44" name="image37.jpeg"/>
                    <pic:cNvPicPr/>
                  </pic:nvPicPr>
                  <pic:blipFill>
                    <a:blip r:embed="rId51" cstate="print"/>
                    <a:stretch>
                      <a:fillRect/>
                    </a:stretch>
                  </pic:blipFill>
                  <pic:spPr>
                    <a:xfrm>
                      <a:off x="0" y="0"/>
                      <a:ext cx="4158459" cy="7102856"/>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pPr>
    </w:p>
    <w:p>
      <w:pPr>
        <w:spacing w:before="1"/>
        <w:ind w:left="1615" w:right="0" w:firstLine="0"/>
        <w:jc w:val="left"/>
        <w:rPr>
          <w:rFonts w:ascii="Gill Sans MT"/>
          <w:sz w:val="24"/>
        </w:rPr>
      </w:pPr>
      <w:r>
        <w:rPr/>
        <w:drawing>
          <wp:anchor distT="0" distB="0" distL="0" distR="0" allowOverlap="1" layoutInCell="1" locked="0" behindDoc="1" simplePos="0" relativeHeight="268403135">
            <wp:simplePos x="0" y="0"/>
            <wp:positionH relativeFrom="page">
              <wp:posOffset>280873</wp:posOffset>
            </wp:positionH>
            <wp:positionV relativeFrom="paragraph">
              <wp:posOffset>-174137</wp:posOffset>
            </wp:positionV>
            <wp:extent cx="1130642" cy="951636"/>
            <wp:effectExtent l="0" t="0" r="0" b="0"/>
            <wp:wrapNone/>
            <wp:docPr id="45" name="image2.png" descr=""/>
            <wp:cNvGraphicFramePr>
              <a:graphicFrameLocks noChangeAspect="1"/>
            </wp:cNvGraphicFramePr>
            <a:graphic>
              <a:graphicData uri="http://schemas.openxmlformats.org/drawingml/2006/picture">
                <pic:pic>
                  <pic:nvPicPr>
                    <pic:cNvPr id="46" name="image2.png"/>
                    <pic:cNvPicPr/>
                  </pic:nvPicPr>
                  <pic:blipFill>
                    <a:blip r:embed="rId6" cstate="print"/>
                    <a:stretch>
                      <a:fillRect/>
                    </a:stretch>
                  </pic:blipFill>
                  <pic:spPr>
                    <a:xfrm>
                      <a:off x="0" y="0"/>
                      <a:ext cx="1130642" cy="951636"/>
                    </a:xfrm>
                    <a:prstGeom prst="rect">
                      <a:avLst/>
                    </a:prstGeom>
                  </pic:spPr>
                </pic:pic>
              </a:graphicData>
            </a:graphic>
          </wp:anchor>
        </w:drawing>
      </w:r>
      <w:r>
        <w:rPr>
          <w:rFonts w:ascii="Gill Sans MT"/>
          <w:color w:val="FB8504"/>
          <w:sz w:val="24"/>
        </w:rPr>
        <w:t>Queensland </w:t>
      </w:r>
      <w:r>
        <w:rPr>
          <w:rFonts w:ascii="Gill Sans MT"/>
          <w:color w:val="448E79"/>
          <w:sz w:val="24"/>
        </w:rPr>
        <w:t>Integrity Commissioner</w:t>
      </w:r>
    </w:p>
    <w:p>
      <w:pPr>
        <w:spacing w:before="173"/>
        <w:ind w:left="1982" w:right="0" w:firstLine="0"/>
        <w:jc w:val="left"/>
        <w:rPr>
          <w:rFonts w:ascii="Garamond"/>
          <w:i/>
          <w:sz w:val="18"/>
        </w:rPr>
      </w:pPr>
      <w:r>
        <w:rPr>
          <w:rFonts w:ascii="Garamond"/>
          <w:i/>
          <w:color w:val="448E79"/>
          <w:sz w:val="18"/>
        </w:rPr>
        <w:t>Encouraging confidence in public office &amp; public institutions</w:t>
      </w:r>
    </w:p>
    <w:p>
      <w:pPr>
        <w:pStyle w:val="BodyText"/>
        <w:rPr>
          <w:rFonts w:ascii="Garamond"/>
          <w:i/>
        </w:rPr>
      </w:pPr>
    </w:p>
    <w:p>
      <w:pPr>
        <w:pStyle w:val="BodyText"/>
        <w:rPr>
          <w:rFonts w:ascii="Garamond"/>
          <w:i/>
        </w:rPr>
      </w:pPr>
    </w:p>
    <w:p>
      <w:pPr>
        <w:pStyle w:val="BodyText"/>
        <w:spacing w:before="8"/>
        <w:rPr>
          <w:rFonts w:ascii="Garamond"/>
          <w:i/>
        </w:rPr>
      </w:pPr>
    </w:p>
    <w:p>
      <w:pPr>
        <w:spacing w:before="0"/>
        <w:ind w:left="1764" w:right="0" w:firstLine="0"/>
        <w:jc w:val="left"/>
        <w:rPr>
          <w:rFonts w:ascii="Gill Sans MT"/>
          <w:sz w:val="18"/>
        </w:rPr>
      </w:pPr>
      <w:r>
        <w:rPr/>
        <w:drawing>
          <wp:anchor distT="0" distB="0" distL="0" distR="0" allowOverlap="1" layoutInCell="1" locked="0" behindDoc="0" simplePos="0" relativeHeight="3544">
            <wp:simplePos x="0" y="0"/>
            <wp:positionH relativeFrom="page">
              <wp:posOffset>408495</wp:posOffset>
            </wp:positionH>
            <wp:positionV relativeFrom="paragraph">
              <wp:posOffset>55077</wp:posOffset>
            </wp:positionV>
            <wp:extent cx="871804" cy="926668"/>
            <wp:effectExtent l="0" t="0" r="0" b="0"/>
            <wp:wrapNone/>
            <wp:docPr id="47" name="image38.png" descr=""/>
            <wp:cNvGraphicFramePr>
              <a:graphicFrameLocks noChangeAspect="1"/>
            </wp:cNvGraphicFramePr>
            <a:graphic>
              <a:graphicData uri="http://schemas.openxmlformats.org/drawingml/2006/picture">
                <pic:pic>
                  <pic:nvPicPr>
                    <pic:cNvPr id="48" name="image38.png"/>
                    <pic:cNvPicPr/>
                  </pic:nvPicPr>
                  <pic:blipFill>
                    <a:blip r:embed="rId52" cstate="print"/>
                    <a:stretch>
                      <a:fillRect/>
                    </a:stretch>
                  </pic:blipFill>
                  <pic:spPr>
                    <a:xfrm>
                      <a:off x="0" y="0"/>
                      <a:ext cx="871804" cy="926668"/>
                    </a:xfrm>
                    <a:prstGeom prst="rect">
                      <a:avLst/>
                    </a:prstGeom>
                  </pic:spPr>
                </pic:pic>
              </a:graphicData>
            </a:graphic>
          </wp:anchor>
        </w:drawing>
      </w:r>
      <w:r>
        <w:rPr>
          <w:rFonts w:ascii="Gill Sans MT"/>
          <w:sz w:val="18"/>
        </w:rPr>
        <w:t>Level 13, 53 Albert Street</w:t>
      </w:r>
    </w:p>
    <w:p>
      <w:pPr>
        <w:spacing w:before="118"/>
        <w:ind w:left="1764" w:right="0" w:firstLine="0"/>
        <w:jc w:val="left"/>
        <w:rPr>
          <w:rFonts w:ascii="Gill Sans MT"/>
          <w:sz w:val="18"/>
        </w:rPr>
      </w:pPr>
      <w:r>
        <w:rPr>
          <w:rFonts w:ascii="Gill Sans MT"/>
          <w:sz w:val="18"/>
        </w:rPr>
        <w:t>Brisbane QLD 4000</w:t>
      </w:r>
    </w:p>
    <w:p>
      <w:pPr>
        <w:spacing w:before="120"/>
        <w:ind w:left="1764" w:right="0" w:firstLine="0"/>
        <w:jc w:val="left"/>
        <w:rPr>
          <w:rFonts w:ascii="Gill Sans MT"/>
          <w:sz w:val="18"/>
        </w:rPr>
      </w:pPr>
      <w:r>
        <w:rPr>
          <w:rFonts w:ascii="Gill Sans MT"/>
          <w:sz w:val="18"/>
        </w:rPr>
        <w:t>T: 07 3003 2888</w:t>
      </w:r>
    </w:p>
    <w:p>
      <w:pPr>
        <w:spacing w:line="379" w:lineRule="auto" w:before="120"/>
        <w:ind w:left="1764" w:right="10683" w:firstLine="0"/>
        <w:jc w:val="left"/>
        <w:rPr>
          <w:rFonts w:ascii="Gill Sans MT"/>
          <w:sz w:val="18"/>
        </w:rPr>
      </w:pPr>
      <w:r>
        <w:rPr>
          <w:rFonts w:ascii="Gill Sans MT"/>
          <w:sz w:val="18"/>
        </w:rPr>
        <w:t>E: </w:t>
      </w:r>
      <w:hyperlink r:id="rId49">
        <w:r>
          <w:rPr>
            <w:rFonts w:ascii="Gill Sans MT"/>
            <w:sz w:val="18"/>
          </w:rPr>
          <w:t>integrity.commissioner@integrity.qld.gov.au</w:t>
        </w:r>
      </w:hyperlink>
      <w:r>
        <w:rPr>
          <w:rFonts w:ascii="Gill Sans MT"/>
          <w:sz w:val="18"/>
        </w:rPr>
        <w:t> W: </w:t>
      </w:r>
      <w:hyperlink r:id="rId46">
        <w:r>
          <w:rPr>
            <w:rFonts w:ascii="Gill Sans MT"/>
            <w:sz w:val="18"/>
          </w:rPr>
          <w:t>www.integrity.qld.gov.au</w:t>
        </w:r>
      </w:hyperlink>
    </w:p>
    <w:sectPr>
      <w:footerReference w:type="default" r:id="rId50"/>
      <w:pgSz w:w="16840" w:h="11910" w:orient="landscape"/>
      <w:pgMar w:footer="0" w:header="0" w:top="360" w:bottom="0" w:left="540" w:right="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Wingdings 3">
    <w:altName w:val="Wingdings 3"/>
    <w:charset w:val="2"/>
    <w:family w:val="roman"/>
    <w:pitch w:val="variable"/>
  </w:font>
  <w:font w:name="Calibri">
    <w:altName w:val="Calibri"/>
    <w:charset w:val="0"/>
    <w:family w:val="swiss"/>
    <w:pitch w:val="variable"/>
  </w:font>
  <w:font w:name="Calibri Light">
    <w:altName w:val="Calibri Light"/>
    <w:charset w:val="0"/>
    <w:family w:val="swiss"/>
    <w:pitch w:val="variable"/>
  </w:font>
  <w:font w:name="Symbol">
    <w:altName w:val="Symbol"/>
    <w:charset w:val="2"/>
    <w:family w:val="roman"/>
    <w:pitch w:val="variable"/>
  </w:font>
  <w:font w:name="Gill Sans MT">
    <w:altName w:val="Gill Sans MT"/>
    <w:charset w:val="0"/>
    <w:family w:val="swiss"/>
    <w:pitch w:val="variable"/>
  </w:font>
  <w:font w:name="Garamond">
    <w:altName w:val="Garamond"/>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type id="_x0000_t202" o:spt="202" coordsize="21600,21600" path="m,l,21600r21600,l21600,xe">
          <v:stroke joinstyle="miter"/>
          <v:path gradientshapeok="t" o:connecttype="rect"/>
        </v:shapetype>
        <v:shape style="position:absolute;margin-left:769.97998pt;margin-top:566.330017pt;width:35.050pt;height:12pt;mso-position-horizontal-relative:page;mso-position-vertical-relative:page;z-index:-34816" type="#_x0000_t202" filled="false" stroked="false">
          <v:textbox inset="0,0,0,0">
            <w:txbxContent>
              <w:p>
                <w:pPr>
                  <w:pStyle w:val="BodyText"/>
                  <w:spacing w:line="223" w:lineRule="exact"/>
                  <w:ind w:left="20"/>
                </w:pPr>
                <w:r>
                  <w:rPr/>
                  <w:t>Page </w:t>
                </w:r>
                <w:r>
                  <w:rPr/>
                  <w:fldChar w:fldCharType="begin"/>
                </w:r>
                <w:r>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decimal"/>
      <w:lvlText w:val="%1."/>
      <w:lvlJc w:val="left"/>
      <w:pPr>
        <w:ind w:left="431" w:hanging="360"/>
        <w:jc w:val="left"/>
      </w:pPr>
      <w:rPr>
        <w:rFonts w:hint="default" w:ascii="Calibri" w:hAnsi="Calibri" w:eastAsia="Calibri" w:cs="Calibri"/>
        <w:spacing w:val="-1"/>
        <w:w w:val="99"/>
        <w:sz w:val="20"/>
        <w:szCs w:val="20"/>
        <w:lang w:val="en-au" w:eastAsia="en-au" w:bidi="en-au"/>
      </w:rPr>
    </w:lvl>
    <w:lvl w:ilvl="1">
      <w:start w:val="0"/>
      <w:numFmt w:val="bullet"/>
      <w:lvlText w:val="•"/>
      <w:lvlJc w:val="left"/>
      <w:pPr>
        <w:ind w:left="1221" w:hanging="360"/>
      </w:pPr>
      <w:rPr>
        <w:rFonts w:hint="default"/>
        <w:lang w:val="en-au" w:eastAsia="en-au" w:bidi="en-au"/>
      </w:rPr>
    </w:lvl>
    <w:lvl w:ilvl="2">
      <w:start w:val="0"/>
      <w:numFmt w:val="bullet"/>
      <w:lvlText w:val="•"/>
      <w:lvlJc w:val="left"/>
      <w:pPr>
        <w:ind w:left="2003" w:hanging="360"/>
      </w:pPr>
      <w:rPr>
        <w:rFonts w:hint="default"/>
        <w:lang w:val="en-au" w:eastAsia="en-au" w:bidi="en-au"/>
      </w:rPr>
    </w:lvl>
    <w:lvl w:ilvl="3">
      <w:start w:val="0"/>
      <w:numFmt w:val="bullet"/>
      <w:lvlText w:val="•"/>
      <w:lvlJc w:val="left"/>
      <w:pPr>
        <w:ind w:left="2785" w:hanging="360"/>
      </w:pPr>
      <w:rPr>
        <w:rFonts w:hint="default"/>
        <w:lang w:val="en-au" w:eastAsia="en-au" w:bidi="en-au"/>
      </w:rPr>
    </w:lvl>
    <w:lvl w:ilvl="4">
      <w:start w:val="0"/>
      <w:numFmt w:val="bullet"/>
      <w:lvlText w:val="•"/>
      <w:lvlJc w:val="left"/>
      <w:pPr>
        <w:ind w:left="3566" w:hanging="360"/>
      </w:pPr>
      <w:rPr>
        <w:rFonts w:hint="default"/>
        <w:lang w:val="en-au" w:eastAsia="en-au" w:bidi="en-au"/>
      </w:rPr>
    </w:lvl>
    <w:lvl w:ilvl="5">
      <w:start w:val="0"/>
      <w:numFmt w:val="bullet"/>
      <w:lvlText w:val="•"/>
      <w:lvlJc w:val="left"/>
      <w:pPr>
        <w:ind w:left="4348" w:hanging="360"/>
      </w:pPr>
      <w:rPr>
        <w:rFonts w:hint="default"/>
        <w:lang w:val="en-au" w:eastAsia="en-au" w:bidi="en-au"/>
      </w:rPr>
    </w:lvl>
    <w:lvl w:ilvl="6">
      <w:start w:val="0"/>
      <w:numFmt w:val="bullet"/>
      <w:lvlText w:val="•"/>
      <w:lvlJc w:val="left"/>
      <w:pPr>
        <w:ind w:left="5130" w:hanging="360"/>
      </w:pPr>
      <w:rPr>
        <w:rFonts w:hint="default"/>
        <w:lang w:val="en-au" w:eastAsia="en-au" w:bidi="en-au"/>
      </w:rPr>
    </w:lvl>
    <w:lvl w:ilvl="7">
      <w:start w:val="0"/>
      <w:numFmt w:val="bullet"/>
      <w:lvlText w:val="•"/>
      <w:lvlJc w:val="left"/>
      <w:pPr>
        <w:ind w:left="5911" w:hanging="360"/>
      </w:pPr>
      <w:rPr>
        <w:rFonts w:hint="default"/>
        <w:lang w:val="en-au" w:eastAsia="en-au" w:bidi="en-au"/>
      </w:rPr>
    </w:lvl>
    <w:lvl w:ilvl="8">
      <w:start w:val="0"/>
      <w:numFmt w:val="bullet"/>
      <w:lvlText w:val="•"/>
      <w:lvlJc w:val="left"/>
      <w:pPr>
        <w:ind w:left="6693" w:hanging="360"/>
      </w:pPr>
      <w:rPr>
        <w:rFonts w:hint="default"/>
        <w:lang w:val="en-au" w:eastAsia="en-au" w:bidi="en-au"/>
      </w:rPr>
    </w:lvl>
  </w:abstractNum>
  <w:abstractNum w:abstractNumId="5">
    <w:multiLevelType w:val="hybridMultilevel"/>
    <w:lvl w:ilvl="0">
      <w:start w:val="0"/>
      <w:numFmt w:val="bullet"/>
      <w:lvlText w:val=""/>
      <w:lvlJc w:val="left"/>
      <w:pPr>
        <w:ind w:left="502" w:hanging="360"/>
      </w:pPr>
      <w:rPr>
        <w:rFonts w:hint="default" w:ascii="Symbol" w:hAnsi="Symbol" w:eastAsia="Symbol" w:cs="Symbol"/>
        <w:w w:val="99"/>
        <w:sz w:val="20"/>
        <w:szCs w:val="20"/>
        <w:lang w:val="en-au" w:eastAsia="en-au" w:bidi="en-au"/>
      </w:rPr>
    </w:lvl>
    <w:lvl w:ilvl="1">
      <w:start w:val="0"/>
      <w:numFmt w:val="bullet"/>
      <w:lvlText w:val="•"/>
      <w:lvlJc w:val="left"/>
      <w:pPr>
        <w:ind w:left="1342" w:hanging="360"/>
      </w:pPr>
      <w:rPr>
        <w:rFonts w:hint="default"/>
        <w:lang w:val="en-au" w:eastAsia="en-au" w:bidi="en-au"/>
      </w:rPr>
    </w:lvl>
    <w:lvl w:ilvl="2">
      <w:start w:val="0"/>
      <w:numFmt w:val="bullet"/>
      <w:lvlText w:val="•"/>
      <w:lvlJc w:val="left"/>
      <w:pPr>
        <w:ind w:left="2185" w:hanging="360"/>
      </w:pPr>
      <w:rPr>
        <w:rFonts w:hint="default"/>
        <w:lang w:val="en-au" w:eastAsia="en-au" w:bidi="en-au"/>
      </w:rPr>
    </w:lvl>
    <w:lvl w:ilvl="3">
      <w:start w:val="0"/>
      <w:numFmt w:val="bullet"/>
      <w:lvlText w:val="•"/>
      <w:lvlJc w:val="left"/>
      <w:pPr>
        <w:ind w:left="3028" w:hanging="360"/>
      </w:pPr>
      <w:rPr>
        <w:rFonts w:hint="default"/>
        <w:lang w:val="en-au" w:eastAsia="en-au" w:bidi="en-au"/>
      </w:rPr>
    </w:lvl>
    <w:lvl w:ilvl="4">
      <w:start w:val="0"/>
      <w:numFmt w:val="bullet"/>
      <w:lvlText w:val="•"/>
      <w:lvlJc w:val="left"/>
      <w:pPr>
        <w:ind w:left="3871" w:hanging="360"/>
      </w:pPr>
      <w:rPr>
        <w:rFonts w:hint="default"/>
        <w:lang w:val="en-au" w:eastAsia="en-au" w:bidi="en-au"/>
      </w:rPr>
    </w:lvl>
    <w:lvl w:ilvl="5">
      <w:start w:val="0"/>
      <w:numFmt w:val="bullet"/>
      <w:lvlText w:val="•"/>
      <w:lvlJc w:val="left"/>
      <w:pPr>
        <w:ind w:left="4714" w:hanging="360"/>
      </w:pPr>
      <w:rPr>
        <w:rFonts w:hint="default"/>
        <w:lang w:val="en-au" w:eastAsia="en-au" w:bidi="en-au"/>
      </w:rPr>
    </w:lvl>
    <w:lvl w:ilvl="6">
      <w:start w:val="0"/>
      <w:numFmt w:val="bullet"/>
      <w:lvlText w:val="•"/>
      <w:lvlJc w:val="left"/>
      <w:pPr>
        <w:ind w:left="5556" w:hanging="360"/>
      </w:pPr>
      <w:rPr>
        <w:rFonts w:hint="default"/>
        <w:lang w:val="en-au" w:eastAsia="en-au" w:bidi="en-au"/>
      </w:rPr>
    </w:lvl>
    <w:lvl w:ilvl="7">
      <w:start w:val="0"/>
      <w:numFmt w:val="bullet"/>
      <w:lvlText w:val="•"/>
      <w:lvlJc w:val="left"/>
      <w:pPr>
        <w:ind w:left="6399" w:hanging="360"/>
      </w:pPr>
      <w:rPr>
        <w:rFonts w:hint="default"/>
        <w:lang w:val="en-au" w:eastAsia="en-au" w:bidi="en-au"/>
      </w:rPr>
    </w:lvl>
    <w:lvl w:ilvl="8">
      <w:start w:val="0"/>
      <w:numFmt w:val="bullet"/>
      <w:lvlText w:val="•"/>
      <w:lvlJc w:val="left"/>
      <w:pPr>
        <w:ind w:left="7242" w:hanging="360"/>
      </w:pPr>
      <w:rPr>
        <w:rFonts w:hint="default"/>
        <w:lang w:val="en-au" w:eastAsia="en-au" w:bidi="en-au"/>
      </w:rPr>
    </w:lvl>
  </w:abstractNum>
  <w:abstractNum w:abstractNumId="4">
    <w:multiLevelType w:val="hybridMultilevel"/>
    <w:lvl w:ilvl="0">
      <w:start w:val="0"/>
      <w:numFmt w:val="bullet"/>
      <w:lvlText w:val=""/>
      <w:lvlJc w:val="left"/>
      <w:pPr>
        <w:ind w:left="495" w:hanging="360"/>
      </w:pPr>
      <w:rPr>
        <w:rFonts w:hint="default" w:ascii="Symbol" w:hAnsi="Symbol" w:eastAsia="Symbol" w:cs="Symbol"/>
        <w:w w:val="99"/>
        <w:sz w:val="20"/>
        <w:szCs w:val="20"/>
        <w:lang w:val="en-au" w:eastAsia="en-au" w:bidi="en-au"/>
      </w:rPr>
    </w:lvl>
    <w:lvl w:ilvl="1">
      <w:start w:val="0"/>
      <w:numFmt w:val="bullet"/>
      <w:lvlText w:val="•"/>
      <w:lvlJc w:val="left"/>
      <w:pPr>
        <w:ind w:left="1474" w:hanging="360"/>
      </w:pPr>
      <w:rPr>
        <w:rFonts w:hint="default"/>
        <w:lang w:val="en-au" w:eastAsia="en-au" w:bidi="en-au"/>
      </w:rPr>
    </w:lvl>
    <w:lvl w:ilvl="2">
      <w:start w:val="0"/>
      <w:numFmt w:val="bullet"/>
      <w:lvlText w:val="•"/>
      <w:lvlJc w:val="left"/>
      <w:pPr>
        <w:ind w:left="2448" w:hanging="360"/>
      </w:pPr>
      <w:rPr>
        <w:rFonts w:hint="default"/>
        <w:lang w:val="en-au" w:eastAsia="en-au" w:bidi="en-au"/>
      </w:rPr>
    </w:lvl>
    <w:lvl w:ilvl="3">
      <w:start w:val="0"/>
      <w:numFmt w:val="bullet"/>
      <w:lvlText w:val="•"/>
      <w:lvlJc w:val="left"/>
      <w:pPr>
        <w:ind w:left="3422" w:hanging="360"/>
      </w:pPr>
      <w:rPr>
        <w:rFonts w:hint="default"/>
        <w:lang w:val="en-au" w:eastAsia="en-au" w:bidi="en-au"/>
      </w:rPr>
    </w:lvl>
    <w:lvl w:ilvl="4">
      <w:start w:val="0"/>
      <w:numFmt w:val="bullet"/>
      <w:lvlText w:val="•"/>
      <w:lvlJc w:val="left"/>
      <w:pPr>
        <w:ind w:left="4396" w:hanging="360"/>
      </w:pPr>
      <w:rPr>
        <w:rFonts w:hint="default"/>
        <w:lang w:val="en-au" w:eastAsia="en-au" w:bidi="en-au"/>
      </w:rPr>
    </w:lvl>
    <w:lvl w:ilvl="5">
      <w:start w:val="0"/>
      <w:numFmt w:val="bullet"/>
      <w:lvlText w:val="•"/>
      <w:lvlJc w:val="left"/>
      <w:pPr>
        <w:ind w:left="5370" w:hanging="360"/>
      </w:pPr>
      <w:rPr>
        <w:rFonts w:hint="default"/>
        <w:lang w:val="en-au" w:eastAsia="en-au" w:bidi="en-au"/>
      </w:rPr>
    </w:lvl>
    <w:lvl w:ilvl="6">
      <w:start w:val="0"/>
      <w:numFmt w:val="bullet"/>
      <w:lvlText w:val="•"/>
      <w:lvlJc w:val="left"/>
      <w:pPr>
        <w:ind w:left="6344" w:hanging="360"/>
      </w:pPr>
      <w:rPr>
        <w:rFonts w:hint="default"/>
        <w:lang w:val="en-au" w:eastAsia="en-au" w:bidi="en-au"/>
      </w:rPr>
    </w:lvl>
    <w:lvl w:ilvl="7">
      <w:start w:val="0"/>
      <w:numFmt w:val="bullet"/>
      <w:lvlText w:val="•"/>
      <w:lvlJc w:val="left"/>
      <w:pPr>
        <w:ind w:left="7318" w:hanging="360"/>
      </w:pPr>
      <w:rPr>
        <w:rFonts w:hint="default"/>
        <w:lang w:val="en-au" w:eastAsia="en-au" w:bidi="en-au"/>
      </w:rPr>
    </w:lvl>
    <w:lvl w:ilvl="8">
      <w:start w:val="0"/>
      <w:numFmt w:val="bullet"/>
      <w:lvlText w:val="•"/>
      <w:lvlJc w:val="left"/>
      <w:pPr>
        <w:ind w:left="8292" w:hanging="360"/>
      </w:pPr>
      <w:rPr>
        <w:rFonts w:hint="default"/>
        <w:lang w:val="en-au" w:eastAsia="en-au" w:bidi="en-au"/>
      </w:rPr>
    </w:lvl>
  </w:abstractNum>
  <w:abstractNum w:abstractNumId="3">
    <w:multiLevelType w:val="hybridMultilevel"/>
    <w:lvl w:ilvl="0">
      <w:start w:val="1"/>
      <w:numFmt w:val="decimal"/>
      <w:lvlText w:val="%1."/>
      <w:lvlJc w:val="left"/>
      <w:pPr>
        <w:ind w:left="495" w:hanging="353"/>
        <w:jc w:val="left"/>
      </w:pPr>
      <w:rPr>
        <w:rFonts w:hint="default" w:ascii="Calibri" w:hAnsi="Calibri" w:eastAsia="Calibri" w:cs="Calibri"/>
        <w:spacing w:val="-1"/>
        <w:w w:val="99"/>
        <w:sz w:val="20"/>
        <w:szCs w:val="20"/>
        <w:lang w:val="en-au" w:eastAsia="en-au" w:bidi="en-au"/>
      </w:rPr>
    </w:lvl>
    <w:lvl w:ilvl="1">
      <w:start w:val="0"/>
      <w:numFmt w:val="bullet"/>
      <w:lvlText w:val="•"/>
      <w:lvlJc w:val="left"/>
      <w:pPr>
        <w:ind w:left="958" w:hanging="353"/>
      </w:pPr>
      <w:rPr>
        <w:rFonts w:hint="default"/>
        <w:lang w:val="en-au" w:eastAsia="en-au" w:bidi="en-au"/>
      </w:rPr>
    </w:lvl>
    <w:lvl w:ilvl="2">
      <w:start w:val="0"/>
      <w:numFmt w:val="bullet"/>
      <w:lvlText w:val="•"/>
      <w:lvlJc w:val="left"/>
      <w:pPr>
        <w:ind w:left="1416" w:hanging="353"/>
      </w:pPr>
      <w:rPr>
        <w:rFonts w:hint="default"/>
        <w:lang w:val="en-au" w:eastAsia="en-au" w:bidi="en-au"/>
      </w:rPr>
    </w:lvl>
    <w:lvl w:ilvl="3">
      <w:start w:val="0"/>
      <w:numFmt w:val="bullet"/>
      <w:lvlText w:val="•"/>
      <w:lvlJc w:val="left"/>
      <w:pPr>
        <w:ind w:left="1875" w:hanging="353"/>
      </w:pPr>
      <w:rPr>
        <w:rFonts w:hint="default"/>
        <w:lang w:val="en-au" w:eastAsia="en-au" w:bidi="en-au"/>
      </w:rPr>
    </w:lvl>
    <w:lvl w:ilvl="4">
      <w:start w:val="0"/>
      <w:numFmt w:val="bullet"/>
      <w:lvlText w:val="•"/>
      <w:lvlJc w:val="left"/>
      <w:pPr>
        <w:ind w:left="2333" w:hanging="353"/>
      </w:pPr>
      <w:rPr>
        <w:rFonts w:hint="default"/>
        <w:lang w:val="en-au" w:eastAsia="en-au" w:bidi="en-au"/>
      </w:rPr>
    </w:lvl>
    <w:lvl w:ilvl="5">
      <w:start w:val="0"/>
      <w:numFmt w:val="bullet"/>
      <w:lvlText w:val="•"/>
      <w:lvlJc w:val="left"/>
      <w:pPr>
        <w:ind w:left="2792" w:hanging="353"/>
      </w:pPr>
      <w:rPr>
        <w:rFonts w:hint="default"/>
        <w:lang w:val="en-au" w:eastAsia="en-au" w:bidi="en-au"/>
      </w:rPr>
    </w:lvl>
    <w:lvl w:ilvl="6">
      <w:start w:val="0"/>
      <w:numFmt w:val="bullet"/>
      <w:lvlText w:val="•"/>
      <w:lvlJc w:val="left"/>
      <w:pPr>
        <w:ind w:left="3250" w:hanging="353"/>
      </w:pPr>
      <w:rPr>
        <w:rFonts w:hint="default"/>
        <w:lang w:val="en-au" w:eastAsia="en-au" w:bidi="en-au"/>
      </w:rPr>
    </w:lvl>
    <w:lvl w:ilvl="7">
      <w:start w:val="0"/>
      <w:numFmt w:val="bullet"/>
      <w:lvlText w:val="•"/>
      <w:lvlJc w:val="left"/>
      <w:pPr>
        <w:ind w:left="3709" w:hanging="353"/>
      </w:pPr>
      <w:rPr>
        <w:rFonts w:hint="default"/>
        <w:lang w:val="en-au" w:eastAsia="en-au" w:bidi="en-au"/>
      </w:rPr>
    </w:lvl>
    <w:lvl w:ilvl="8">
      <w:start w:val="0"/>
      <w:numFmt w:val="bullet"/>
      <w:lvlText w:val="•"/>
      <w:lvlJc w:val="left"/>
      <w:pPr>
        <w:ind w:left="4167" w:hanging="353"/>
      </w:pPr>
      <w:rPr>
        <w:rFonts w:hint="default"/>
        <w:lang w:val="en-au" w:eastAsia="en-au" w:bidi="en-au"/>
      </w:rPr>
    </w:lvl>
  </w:abstractNum>
  <w:abstractNum w:abstractNumId="2">
    <w:multiLevelType w:val="hybridMultilevel"/>
    <w:lvl w:ilvl="0">
      <w:start w:val="0"/>
      <w:numFmt w:val="bullet"/>
      <w:lvlText w:val=""/>
      <w:lvlJc w:val="left"/>
      <w:pPr>
        <w:ind w:left="678" w:hanging="360"/>
      </w:pPr>
      <w:rPr>
        <w:rFonts w:hint="default" w:ascii="Symbol" w:hAnsi="Symbol" w:eastAsia="Symbol" w:cs="Symbol"/>
        <w:w w:val="99"/>
        <w:sz w:val="20"/>
        <w:szCs w:val="20"/>
        <w:lang w:val="en-au" w:eastAsia="en-au" w:bidi="en-au"/>
      </w:rPr>
    </w:lvl>
    <w:lvl w:ilvl="1">
      <w:start w:val="0"/>
      <w:numFmt w:val="bullet"/>
      <w:lvlText w:val="•"/>
      <w:lvlJc w:val="left"/>
      <w:pPr>
        <w:ind w:left="1648" w:hanging="360"/>
      </w:pPr>
      <w:rPr>
        <w:rFonts w:hint="default"/>
        <w:lang w:val="en-au" w:eastAsia="en-au" w:bidi="en-au"/>
      </w:rPr>
    </w:lvl>
    <w:lvl w:ilvl="2">
      <w:start w:val="0"/>
      <w:numFmt w:val="bullet"/>
      <w:lvlText w:val="•"/>
      <w:lvlJc w:val="left"/>
      <w:pPr>
        <w:ind w:left="2617" w:hanging="360"/>
      </w:pPr>
      <w:rPr>
        <w:rFonts w:hint="default"/>
        <w:lang w:val="en-au" w:eastAsia="en-au" w:bidi="en-au"/>
      </w:rPr>
    </w:lvl>
    <w:lvl w:ilvl="3">
      <w:start w:val="0"/>
      <w:numFmt w:val="bullet"/>
      <w:lvlText w:val="•"/>
      <w:lvlJc w:val="left"/>
      <w:pPr>
        <w:ind w:left="3585" w:hanging="360"/>
      </w:pPr>
      <w:rPr>
        <w:rFonts w:hint="default"/>
        <w:lang w:val="en-au" w:eastAsia="en-au" w:bidi="en-au"/>
      </w:rPr>
    </w:lvl>
    <w:lvl w:ilvl="4">
      <w:start w:val="0"/>
      <w:numFmt w:val="bullet"/>
      <w:lvlText w:val="•"/>
      <w:lvlJc w:val="left"/>
      <w:pPr>
        <w:ind w:left="4554" w:hanging="360"/>
      </w:pPr>
      <w:rPr>
        <w:rFonts w:hint="default"/>
        <w:lang w:val="en-au" w:eastAsia="en-au" w:bidi="en-au"/>
      </w:rPr>
    </w:lvl>
    <w:lvl w:ilvl="5">
      <w:start w:val="0"/>
      <w:numFmt w:val="bullet"/>
      <w:lvlText w:val="•"/>
      <w:lvlJc w:val="left"/>
      <w:pPr>
        <w:ind w:left="5522" w:hanging="360"/>
      </w:pPr>
      <w:rPr>
        <w:rFonts w:hint="default"/>
        <w:lang w:val="en-au" w:eastAsia="en-au" w:bidi="en-au"/>
      </w:rPr>
    </w:lvl>
    <w:lvl w:ilvl="6">
      <w:start w:val="0"/>
      <w:numFmt w:val="bullet"/>
      <w:lvlText w:val="•"/>
      <w:lvlJc w:val="left"/>
      <w:pPr>
        <w:ind w:left="6491" w:hanging="360"/>
      </w:pPr>
      <w:rPr>
        <w:rFonts w:hint="default"/>
        <w:lang w:val="en-au" w:eastAsia="en-au" w:bidi="en-au"/>
      </w:rPr>
    </w:lvl>
    <w:lvl w:ilvl="7">
      <w:start w:val="0"/>
      <w:numFmt w:val="bullet"/>
      <w:lvlText w:val="•"/>
      <w:lvlJc w:val="left"/>
      <w:pPr>
        <w:ind w:left="7459" w:hanging="360"/>
      </w:pPr>
      <w:rPr>
        <w:rFonts w:hint="default"/>
        <w:lang w:val="en-au" w:eastAsia="en-au" w:bidi="en-au"/>
      </w:rPr>
    </w:lvl>
    <w:lvl w:ilvl="8">
      <w:start w:val="0"/>
      <w:numFmt w:val="bullet"/>
      <w:lvlText w:val="•"/>
      <w:lvlJc w:val="left"/>
      <w:pPr>
        <w:ind w:left="8428" w:hanging="360"/>
      </w:pPr>
      <w:rPr>
        <w:rFonts w:hint="default"/>
        <w:lang w:val="en-au" w:eastAsia="en-au" w:bidi="en-au"/>
      </w:rPr>
    </w:lvl>
  </w:abstractNum>
  <w:abstractNum w:abstractNumId="1">
    <w:multiLevelType w:val="hybridMultilevel"/>
    <w:lvl w:ilvl="0">
      <w:start w:val="0"/>
      <w:numFmt w:val="bullet"/>
      <w:lvlText w:val=""/>
      <w:lvlJc w:val="left"/>
      <w:pPr>
        <w:ind w:left="768" w:hanging="274"/>
      </w:pPr>
      <w:rPr>
        <w:rFonts w:hint="default" w:ascii="Symbol" w:hAnsi="Symbol" w:eastAsia="Symbol" w:cs="Symbol"/>
        <w:w w:val="99"/>
        <w:sz w:val="20"/>
        <w:szCs w:val="20"/>
        <w:lang w:val="en-au" w:eastAsia="en-au" w:bidi="en-au"/>
      </w:rPr>
    </w:lvl>
    <w:lvl w:ilvl="1">
      <w:start w:val="0"/>
      <w:numFmt w:val="bullet"/>
      <w:lvlText w:val=""/>
      <w:lvlJc w:val="left"/>
      <w:pPr>
        <w:ind w:left="2922" w:hanging="267"/>
      </w:pPr>
      <w:rPr>
        <w:rFonts w:hint="default" w:ascii="Symbol" w:hAnsi="Symbol" w:eastAsia="Symbol" w:cs="Symbol"/>
        <w:w w:val="99"/>
        <w:sz w:val="20"/>
        <w:szCs w:val="20"/>
        <w:lang w:val="en-au" w:eastAsia="en-au" w:bidi="en-au"/>
      </w:rPr>
    </w:lvl>
    <w:lvl w:ilvl="2">
      <w:start w:val="0"/>
      <w:numFmt w:val="bullet"/>
      <w:lvlText w:val="•"/>
      <w:lvlJc w:val="left"/>
      <w:pPr>
        <w:ind w:left="2591" w:hanging="267"/>
      </w:pPr>
      <w:rPr>
        <w:rFonts w:hint="default"/>
        <w:lang w:val="en-au" w:eastAsia="en-au" w:bidi="en-au"/>
      </w:rPr>
    </w:lvl>
    <w:lvl w:ilvl="3">
      <w:start w:val="0"/>
      <w:numFmt w:val="bullet"/>
      <w:lvlText w:val="•"/>
      <w:lvlJc w:val="left"/>
      <w:pPr>
        <w:ind w:left="2262" w:hanging="267"/>
      </w:pPr>
      <w:rPr>
        <w:rFonts w:hint="default"/>
        <w:lang w:val="en-au" w:eastAsia="en-au" w:bidi="en-au"/>
      </w:rPr>
    </w:lvl>
    <w:lvl w:ilvl="4">
      <w:start w:val="0"/>
      <w:numFmt w:val="bullet"/>
      <w:lvlText w:val="•"/>
      <w:lvlJc w:val="left"/>
      <w:pPr>
        <w:ind w:left="1933" w:hanging="267"/>
      </w:pPr>
      <w:rPr>
        <w:rFonts w:hint="default"/>
        <w:lang w:val="en-au" w:eastAsia="en-au" w:bidi="en-au"/>
      </w:rPr>
    </w:lvl>
    <w:lvl w:ilvl="5">
      <w:start w:val="0"/>
      <w:numFmt w:val="bullet"/>
      <w:lvlText w:val="•"/>
      <w:lvlJc w:val="left"/>
      <w:pPr>
        <w:ind w:left="1604" w:hanging="267"/>
      </w:pPr>
      <w:rPr>
        <w:rFonts w:hint="default"/>
        <w:lang w:val="en-au" w:eastAsia="en-au" w:bidi="en-au"/>
      </w:rPr>
    </w:lvl>
    <w:lvl w:ilvl="6">
      <w:start w:val="0"/>
      <w:numFmt w:val="bullet"/>
      <w:lvlText w:val="•"/>
      <w:lvlJc w:val="left"/>
      <w:pPr>
        <w:ind w:left="1275" w:hanging="267"/>
      </w:pPr>
      <w:rPr>
        <w:rFonts w:hint="default"/>
        <w:lang w:val="en-au" w:eastAsia="en-au" w:bidi="en-au"/>
      </w:rPr>
    </w:lvl>
    <w:lvl w:ilvl="7">
      <w:start w:val="0"/>
      <w:numFmt w:val="bullet"/>
      <w:lvlText w:val="•"/>
      <w:lvlJc w:val="left"/>
      <w:pPr>
        <w:ind w:left="946" w:hanging="267"/>
      </w:pPr>
      <w:rPr>
        <w:rFonts w:hint="default"/>
        <w:lang w:val="en-au" w:eastAsia="en-au" w:bidi="en-au"/>
      </w:rPr>
    </w:lvl>
    <w:lvl w:ilvl="8">
      <w:start w:val="0"/>
      <w:numFmt w:val="bullet"/>
      <w:lvlText w:val="•"/>
      <w:lvlJc w:val="left"/>
      <w:pPr>
        <w:ind w:left="617" w:hanging="267"/>
      </w:pPr>
      <w:rPr>
        <w:rFonts w:hint="default"/>
        <w:lang w:val="en-au" w:eastAsia="en-au" w:bidi="en-au"/>
      </w:rPr>
    </w:lvl>
  </w:abstractNum>
  <w:abstractNum w:abstractNumId="0">
    <w:multiLevelType w:val="hybridMultilevel"/>
    <w:lvl w:ilvl="0">
      <w:start w:val="6"/>
      <w:numFmt w:val="decimal"/>
      <w:lvlText w:val="%1"/>
      <w:lvlJc w:val="left"/>
      <w:pPr>
        <w:ind w:left="2809" w:hanging="102"/>
        <w:jc w:val="right"/>
      </w:pPr>
      <w:rPr>
        <w:rFonts w:hint="default" w:ascii="Calibri" w:hAnsi="Calibri" w:eastAsia="Calibri" w:cs="Calibri"/>
        <w:b/>
        <w:bCs/>
        <w:w w:val="99"/>
        <w:sz w:val="18"/>
        <w:szCs w:val="18"/>
        <w:lang w:val="en-au" w:eastAsia="en-au" w:bidi="en-au"/>
      </w:rPr>
    </w:lvl>
    <w:lvl w:ilvl="1">
      <w:start w:val="0"/>
      <w:numFmt w:val="bullet"/>
      <w:lvlText w:val="•"/>
      <w:lvlJc w:val="left"/>
      <w:pPr>
        <w:ind w:left="3340" w:hanging="102"/>
      </w:pPr>
      <w:rPr>
        <w:rFonts w:hint="default"/>
        <w:lang w:val="en-au" w:eastAsia="en-au" w:bidi="en-au"/>
      </w:rPr>
    </w:lvl>
    <w:lvl w:ilvl="2">
      <w:start w:val="0"/>
      <w:numFmt w:val="bullet"/>
      <w:lvlText w:val="•"/>
      <w:lvlJc w:val="left"/>
      <w:pPr>
        <w:ind w:left="2634" w:hanging="102"/>
      </w:pPr>
      <w:rPr>
        <w:rFonts w:hint="default"/>
        <w:lang w:val="en-au" w:eastAsia="en-au" w:bidi="en-au"/>
      </w:rPr>
    </w:lvl>
    <w:lvl w:ilvl="3">
      <w:start w:val="0"/>
      <w:numFmt w:val="bullet"/>
      <w:lvlText w:val="•"/>
      <w:lvlJc w:val="left"/>
      <w:pPr>
        <w:ind w:left="1929" w:hanging="102"/>
      </w:pPr>
      <w:rPr>
        <w:rFonts w:hint="default"/>
        <w:lang w:val="en-au" w:eastAsia="en-au" w:bidi="en-au"/>
      </w:rPr>
    </w:lvl>
    <w:lvl w:ilvl="4">
      <w:start w:val="0"/>
      <w:numFmt w:val="bullet"/>
      <w:lvlText w:val="•"/>
      <w:lvlJc w:val="left"/>
      <w:pPr>
        <w:ind w:left="1224" w:hanging="102"/>
      </w:pPr>
      <w:rPr>
        <w:rFonts w:hint="default"/>
        <w:lang w:val="en-au" w:eastAsia="en-au" w:bidi="en-au"/>
      </w:rPr>
    </w:lvl>
    <w:lvl w:ilvl="5">
      <w:start w:val="0"/>
      <w:numFmt w:val="bullet"/>
      <w:lvlText w:val="•"/>
      <w:lvlJc w:val="left"/>
      <w:pPr>
        <w:ind w:left="519" w:hanging="102"/>
      </w:pPr>
      <w:rPr>
        <w:rFonts w:hint="default"/>
        <w:lang w:val="en-au" w:eastAsia="en-au" w:bidi="en-au"/>
      </w:rPr>
    </w:lvl>
    <w:lvl w:ilvl="6">
      <w:start w:val="0"/>
      <w:numFmt w:val="bullet"/>
      <w:lvlText w:val="•"/>
      <w:lvlJc w:val="left"/>
      <w:pPr>
        <w:ind w:left="-187" w:hanging="102"/>
      </w:pPr>
      <w:rPr>
        <w:rFonts w:hint="default"/>
        <w:lang w:val="en-au" w:eastAsia="en-au" w:bidi="en-au"/>
      </w:rPr>
    </w:lvl>
    <w:lvl w:ilvl="7">
      <w:start w:val="0"/>
      <w:numFmt w:val="bullet"/>
      <w:lvlText w:val="•"/>
      <w:lvlJc w:val="left"/>
      <w:pPr>
        <w:ind w:left="-892" w:hanging="102"/>
      </w:pPr>
      <w:rPr>
        <w:rFonts w:hint="default"/>
        <w:lang w:val="en-au" w:eastAsia="en-au" w:bidi="en-au"/>
      </w:rPr>
    </w:lvl>
    <w:lvl w:ilvl="8">
      <w:start w:val="0"/>
      <w:numFmt w:val="bullet"/>
      <w:lvlText w:val="•"/>
      <w:lvlJc w:val="left"/>
      <w:pPr>
        <w:ind w:left="-1597" w:hanging="102"/>
      </w:pPr>
      <w:rPr>
        <w:rFonts w:hint="default"/>
        <w:lang w:val="en-au" w:eastAsia="en-au" w:bidi="en-au"/>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au" w:eastAsia="en-au" w:bidi="en-au"/>
    </w:rPr>
  </w:style>
  <w:style w:styleId="BodyText" w:type="paragraph">
    <w:name w:val="Body Text"/>
    <w:basedOn w:val="Normal"/>
    <w:uiPriority w:val="1"/>
    <w:qFormat/>
    <w:pPr/>
    <w:rPr>
      <w:rFonts w:ascii="Calibri" w:hAnsi="Calibri" w:eastAsia="Calibri" w:cs="Calibri"/>
      <w:sz w:val="20"/>
      <w:szCs w:val="20"/>
      <w:lang w:val="en-au" w:eastAsia="en-au" w:bidi="en-au"/>
    </w:rPr>
  </w:style>
  <w:style w:styleId="Heading1" w:type="paragraph">
    <w:name w:val="Heading 1"/>
    <w:basedOn w:val="Normal"/>
    <w:uiPriority w:val="1"/>
    <w:qFormat/>
    <w:pPr>
      <w:ind w:left="354"/>
      <w:outlineLvl w:val="1"/>
    </w:pPr>
    <w:rPr>
      <w:rFonts w:ascii="Gill Sans MT" w:hAnsi="Gill Sans MT" w:eastAsia="Gill Sans MT" w:cs="Gill Sans MT"/>
      <w:sz w:val="72"/>
      <w:szCs w:val="72"/>
      <w:lang w:val="en-au" w:eastAsia="en-au" w:bidi="en-au"/>
    </w:rPr>
  </w:style>
  <w:style w:styleId="Heading2" w:type="paragraph">
    <w:name w:val="Heading 2"/>
    <w:basedOn w:val="Normal"/>
    <w:uiPriority w:val="1"/>
    <w:qFormat/>
    <w:pPr>
      <w:spacing w:before="88"/>
      <w:ind w:left="321"/>
      <w:outlineLvl w:val="2"/>
    </w:pPr>
    <w:rPr>
      <w:rFonts w:ascii="Gill Sans MT" w:hAnsi="Gill Sans MT" w:eastAsia="Gill Sans MT" w:cs="Gill Sans MT"/>
      <w:sz w:val="25"/>
      <w:szCs w:val="25"/>
      <w:lang w:val="en-au" w:eastAsia="en-au" w:bidi="en-au"/>
    </w:rPr>
  </w:style>
  <w:style w:styleId="Heading3" w:type="paragraph">
    <w:name w:val="Heading 3"/>
    <w:basedOn w:val="Normal"/>
    <w:uiPriority w:val="1"/>
    <w:qFormat/>
    <w:pPr>
      <w:outlineLvl w:val="3"/>
    </w:pPr>
    <w:rPr>
      <w:rFonts w:ascii="Gill Sans MT" w:hAnsi="Gill Sans MT" w:eastAsia="Gill Sans MT" w:cs="Gill Sans MT"/>
      <w:sz w:val="24"/>
      <w:szCs w:val="24"/>
      <w:lang w:val="en-au" w:eastAsia="en-au" w:bidi="en-au"/>
    </w:rPr>
  </w:style>
  <w:style w:styleId="Heading4" w:type="paragraph">
    <w:name w:val="Heading 4"/>
    <w:basedOn w:val="Normal"/>
    <w:uiPriority w:val="1"/>
    <w:qFormat/>
    <w:pPr>
      <w:ind w:left="236"/>
      <w:outlineLvl w:val="4"/>
    </w:pPr>
    <w:rPr>
      <w:rFonts w:ascii="Calibri" w:hAnsi="Calibri" w:eastAsia="Calibri" w:cs="Calibri"/>
      <w:b/>
      <w:bCs/>
      <w:sz w:val="20"/>
      <w:szCs w:val="20"/>
      <w:lang w:val="en-au" w:eastAsia="en-au" w:bidi="en-au"/>
    </w:rPr>
  </w:style>
  <w:style w:styleId="ListParagraph" w:type="paragraph">
    <w:name w:val="List Paragraph"/>
    <w:basedOn w:val="Normal"/>
    <w:uiPriority w:val="1"/>
    <w:qFormat/>
    <w:pPr>
      <w:spacing w:before="33"/>
      <w:ind w:left="681" w:hanging="360"/>
    </w:pPr>
    <w:rPr>
      <w:rFonts w:ascii="Calibri" w:hAnsi="Calibri" w:eastAsia="Calibri" w:cs="Calibri"/>
      <w:lang w:val="en-au" w:eastAsia="en-au" w:bidi="en-au"/>
    </w:rPr>
  </w:style>
  <w:style w:styleId="TableParagraph" w:type="paragraph">
    <w:name w:val="Table Paragraph"/>
    <w:basedOn w:val="Normal"/>
    <w:uiPriority w:val="1"/>
    <w:qFormat/>
    <w:pPr/>
    <w:rPr>
      <w:rFonts w:ascii="Calibri" w:hAnsi="Calibri" w:eastAsia="Calibri" w:cs="Calibri"/>
      <w:lang w:val="en-au" w:eastAsia="en-au" w:bidi="en-a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jpeg"/><Relationship Id="rId37" Type="http://schemas.openxmlformats.org/officeDocument/2006/relationships/image" Target="media/image32.png"/><Relationship Id="rId38" Type="http://schemas.openxmlformats.org/officeDocument/2006/relationships/hyperlink" Target="http://www.integrity.qld.gov.au/lobbyists/obligations-code-of-conduct.aspx" TargetMode="External"/><Relationship Id="rId39" Type="http://schemas.openxmlformats.org/officeDocument/2006/relationships/hyperlink" Target="http://www.integrity.qld.gov.au/publications/resources.aspx" TargetMode="External"/><Relationship Id="rId40" Type="http://schemas.openxmlformats.org/officeDocument/2006/relationships/image" Target="media/image33.jpeg"/><Relationship Id="rId41" Type="http://schemas.openxmlformats.org/officeDocument/2006/relationships/hyperlink" Target="https://www.qld.gov.au/" TargetMode="External"/><Relationship Id="rId42" Type="http://schemas.openxmlformats.org/officeDocument/2006/relationships/image" Target="media/image34.png"/><Relationship Id="rId43" Type="http://schemas.openxmlformats.org/officeDocument/2006/relationships/hyperlink" Target="http://www.archives.qld.gov.au/" TargetMode="External"/><Relationship Id="rId44" Type="http://schemas.openxmlformats.org/officeDocument/2006/relationships/hyperlink" Target="https://www.integrity.qld.gov.au/publications/annual-reports.aspx" TargetMode="External"/><Relationship Id="rId45" Type="http://schemas.openxmlformats.org/officeDocument/2006/relationships/image" Target="media/image35.jpeg"/><Relationship Id="rId46" Type="http://schemas.openxmlformats.org/officeDocument/2006/relationships/hyperlink" Target="http://www.integrity.qld.gov.au/" TargetMode="External"/><Relationship Id="rId47" Type="http://schemas.openxmlformats.org/officeDocument/2006/relationships/image" Target="media/image36.png"/><Relationship Id="rId48" Type="http://schemas.openxmlformats.org/officeDocument/2006/relationships/hyperlink" Target="http://creativecommons.org/licenses/by/4.0/" TargetMode="External"/><Relationship Id="rId49" Type="http://schemas.openxmlformats.org/officeDocument/2006/relationships/hyperlink" Target="mailto:integrity.commissioner@integrity.qld.gov.au" TargetMode="External"/><Relationship Id="rId50" Type="http://schemas.openxmlformats.org/officeDocument/2006/relationships/footer" Target="footer2.xml"/><Relationship Id="rId51" Type="http://schemas.openxmlformats.org/officeDocument/2006/relationships/image" Target="media/image37.jpeg"/><Relationship Id="rId52" Type="http://schemas.openxmlformats.org/officeDocument/2006/relationships/image" Target="media/image38.png"/><Relationship Id="rId5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Queensland Integrity Commission</dc:creator>
  <dc:title>Annual Report 2018-19</dc:title>
  <dcterms:created xsi:type="dcterms:W3CDTF">2019-09-30T00:19:55Z</dcterms:created>
  <dcterms:modified xsi:type="dcterms:W3CDTF">2019-09-30T00:19:55Z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2019-09-27T00:00:00Z</vt:filetime>
  </property>
  <property fmtid="{D5CDD505-2E9C-101B-9397-08002B2CF9AE}" pid="3" name="Creator">
    <vt:lpwstr>Microsoft® Publisher for Office 365</vt:lpwstr>
  </property>
  <property fmtid="{D5CDD505-2E9C-101B-9397-08002B2CF9AE}" pid="4" name="LastSaved">
    <vt:filetime>2019-09-30T00:00:00Z</vt:filetime>
  </property>
</Properties>
</file>